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C239" w14:textId="77777777" w:rsidR="00C71CCD" w:rsidRDefault="00C71CCD" w:rsidP="00130B24">
      <w:pPr>
        <w:spacing w:after="0" w:line="240" w:lineRule="auto"/>
        <w:jc w:val="center"/>
        <w:rPr>
          <w:rFonts w:ascii="Times New Roman" w:hAnsi="Times New Roman"/>
          <w:b/>
          <w:bCs/>
          <w:sz w:val="20"/>
          <w:szCs w:val="20"/>
          <w:u w:val="single"/>
        </w:rPr>
      </w:pPr>
    </w:p>
    <w:p w14:paraId="43CECA88" w14:textId="77777777" w:rsidR="00C71CCD" w:rsidRDefault="00C71CCD" w:rsidP="00130B24">
      <w:pPr>
        <w:spacing w:after="0" w:line="240" w:lineRule="auto"/>
        <w:jc w:val="center"/>
        <w:rPr>
          <w:rFonts w:ascii="Times New Roman" w:hAnsi="Times New Roman"/>
          <w:b/>
          <w:bCs/>
          <w:sz w:val="20"/>
          <w:szCs w:val="20"/>
          <w:u w:val="single"/>
        </w:rPr>
      </w:pPr>
    </w:p>
    <w:p w14:paraId="02B433B6" w14:textId="77777777" w:rsidR="00C71CCD" w:rsidRDefault="00C71CCD" w:rsidP="00130B24">
      <w:pPr>
        <w:spacing w:after="0" w:line="240" w:lineRule="auto"/>
        <w:jc w:val="center"/>
        <w:rPr>
          <w:rFonts w:ascii="Times New Roman" w:hAnsi="Times New Roman"/>
          <w:b/>
          <w:bCs/>
          <w:sz w:val="20"/>
          <w:szCs w:val="20"/>
          <w:u w:val="single"/>
        </w:rPr>
      </w:pPr>
    </w:p>
    <w:p w14:paraId="1C5DA8EF" w14:textId="77777777" w:rsidR="00C71CCD" w:rsidRDefault="00C71CCD" w:rsidP="00130B24">
      <w:pPr>
        <w:spacing w:after="0" w:line="240" w:lineRule="auto"/>
        <w:jc w:val="center"/>
        <w:rPr>
          <w:rFonts w:ascii="Times New Roman" w:hAnsi="Times New Roman"/>
          <w:b/>
          <w:bCs/>
          <w:sz w:val="20"/>
          <w:szCs w:val="20"/>
          <w:u w:val="single"/>
        </w:rPr>
      </w:pPr>
    </w:p>
    <w:p w14:paraId="1003AF82" w14:textId="502688C7" w:rsidR="00130B24" w:rsidRDefault="00130B24" w:rsidP="00130B24">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PETROLEUM AND NATURAL GAS REGULATORY BOARD</w:t>
      </w:r>
    </w:p>
    <w:p w14:paraId="0E9B9276" w14:textId="77777777" w:rsidR="00130B24" w:rsidRPr="00130B24" w:rsidRDefault="00130B24" w:rsidP="00130B24">
      <w:pPr>
        <w:pStyle w:val="BodyText"/>
        <w:spacing w:before="2" w:line="240" w:lineRule="auto"/>
        <w:jc w:val="center"/>
        <w:rPr>
          <w:sz w:val="4"/>
          <w:szCs w:val="4"/>
        </w:rPr>
      </w:pPr>
    </w:p>
    <w:p w14:paraId="3BA75AB9" w14:textId="22A36E5D" w:rsidR="00130B24" w:rsidRDefault="00130B24" w:rsidP="00130B24">
      <w:pPr>
        <w:pStyle w:val="BodyText"/>
        <w:spacing w:before="2" w:line="240" w:lineRule="auto"/>
        <w:jc w:val="center"/>
        <w:rPr>
          <w:b w:val="0"/>
          <w:bCs w:val="0"/>
          <w:sz w:val="20"/>
          <w:szCs w:val="20"/>
        </w:rPr>
      </w:pPr>
      <w:r>
        <w:rPr>
          <w:sz w:val="20"/>
          <w:szCs w:val="20"/>
        </w:rPr>
        <w:t xml:space="preserve">                              </w:t>
      </w:r>
      <w:r w:rsidRPr="00807BD3">
        <w:rPr>
          <w:sz w:val="20"/>
          <w:szCs w:val="20"/>
        </w:rPr>
        <w:t>NOTIFICATION</w:t>
      </w:r>
    </w:p>
    <w:p w14:paraId="72CDAB17" w14:textId="77777777" w:rsidR="00130B24" w:rsidRPr="00130B24" w:rsidRDefault="00130B24" w:rsidP="00130B24">
      <w:pPr>
        <w:pStyle w:val="BodyText"/>
        <w:spacing w:before="2" w:line="240" w:lineRule="auto"/>
        <w:jc w:val="center"/>
        <w:rPr>
          <w:b w:val="0"/>
          <w:bCs w:val="0"/>
          <w:sz w:val="2"/>
          <w:szCs w:val="2"/>
        </w:rPr>
      </w:pPr>
    </w:p>
    <w:p w14:paraId="087F123B" w14:textId="30BDCD4D" w:rsidR="00130B24" w:rsidRPr="00130B24" w:rsidRDefault="00130B24" w:rsidP="00130B24">
      <w:pPr>
        <w:pStyle w:val="BodyText"/>
        <w:tabs>
          <w:tab w:val="left" w:leader="dot" w:pos="1825"/>
        </w:tabs>
        <w:spacing w:line="240" w:lineRule="auto"/>
        <w:ind w:right="21"/>
        <w:jc w:val="center"/>
        <w:rPr>
          <w:b w:val="0"/>
          <w:bCs w:val="0"/>
          <w:sz w:val="20"/>
          <w:szCs w:val="20"/>
        </w:rPr>
      </w:pPr>
      <w:r w:rsidRPr="00807BD3">
        <w:rPr>
          <w:sz w:val="20"/>
          <w:szCs w:val="20"/>
        </w:rPr>
        <w:t>New</w:t>
      </w:r>
      <w:r w:rsidRPr="00807BD3">
        <w:rPr>
          <w:spacing w:val="-2"/>
          <w:sz w:val="20"/>
          <w:szCs w:val="20"/>
        </w:rPr>
        <w:t xml:space="preserve"> </w:t>
      </w:r>
      <w:r w:rsidR="00254D84">
        <w:rPr>
          <w:sz w:val="20"/>
          <w:szCs w:val="20"/>
        </w:rPr>
        <w:t xml:space="preserve">Delhi, </w:t>
      </w:r>
      <w:r w:rsidR="00C71CCD">
        <w:rPr>
          <w:sz w:val="20"/>
          <w:szCs w:val="20"/>
        </w:rPr>
        <w:t xml:space="preserve">the </w:t>
      </w:r>
      <w:r w:rsidR="004307A3">
        <w:rPr>
          <w:sz w:val="20"/>
          <w:szCs w:val="20"/>
        </w:rPr>
        <w:t>22</w:t>
      </w:r>
      <w:r w:rsidR="004307A3" w:rsidRPr="004307A3">
        <w:rPr>
          <w:sz w:val="20"/>
          <w:szCs w:val="20"/>
          <w:vertAlign w:val="superscript"/>
        </w:rPr>
        <w:t>nd</w:t>
      </w:r>
      <w:r w:rsidR="00254D84">
        <w:rPr>
          <w:sz w:val="20"/>
          <w:szCs w:val="20"/>
        </w:rPr>
        <w:t xml:space="preserve"> </w:t>
      </w:r>
      <w:r>
        <w:rPr>
          <w:sz w:val="20"/>
          <w:szCs w:val="20"/>
        </w:rPr>
        <w:t>Ju</w:t>
      </w:r>
      <w:r w:rsidR="000E6BA5">
        <w:rPr>
          <w:sz w:val="20"/>
          <w:szCs w:val="20"/>
        </w:rPr>
        <w:t>ly</w:t>
      </w:r>
      <w:r w:rsidRPr="00807BD3">
        <w:rPr>
          <w:sz w:val="20"/>
          <w:szCs w:val="20"/>
        </w:rPr>
        <w:t>,</w:t>
      </w:r>
      <w:r w:rsidRPr="00807BD3">
        <w:rPr>
          <w:spacing w:val="-2"/>
          <w:sz w:val="20"/>
          <w:szCs w:val="20"/>
        </w:rPr>
        <w:t xml:space="preserve"> </w:t>
      </w:r>
      <w:r w:rsidRPr="00807BD3">
        <w:rPr>
          <w:sz w:val="20"/>
          <w:szCs w:val="20"/>
        </w:rPr>
        <w:t>2024</w:t>
      </w:r>
    </w:p>
    <w:p w14:paraId="192BFEA4" w14:textId="2B319486" w:rsidR="00C71035" w:rsidRPr="006D2651" w:rsidRDefault="00C71CCD" w:rsidP="006D2651">
      <w:pPr>
        <w:jc w:val="both"/>
        <w:rPr>
          <w:rFonts w:ascii="Times New Roman" w:hAnsi="Times New Roman"/>
          <w:sz w:val="20"/>
          <w:szCs w:val="20"/>
        </w:rPr>
      </w:pPr>
      <w:r w:rsidRPr="00C71CCD">
        <w:rPr>
          <w:rFonts w:ascii="Times New Roman" w:hAnsi="Times New Roman"/>
          <w:b/>
          <w:bCs/>
          <w:sz w:val="20"/>
          <w:szCs w:val="20"/>
        </w:rPr>
        <w:t>G.S.R</w:t>
      </w:r>
      <w:r w:rsidRPr="00BE5653">
        <w:rPr>
          <w:rFonts w:ascii="Times New Roman" w:hAnsi="Times New Roman"/>
          <w:b/>
          <w:bCs/>
          <w:sz w:val="20"/>
          <w:szCs w:val="20"/>
        </w:rPr>
        <w:t>. 546(E</w:t>
      </w:r>
      <w:r>
        <w:rPr>
          <w:rFonts w:ascii="Times New Roman" w:hAnsi="Times New Roman"/>
          <w:sz w:val="20"/>
          <w:szCs w:val="20"/>
        </w:rPr>
        <w:t>)</w:t>
      </w:r>
      <w:r w:rsidR="00F47992">
        <w:rPr>
          <w:rFonts w:ascii="Times New Roman" w:hAnsi="Times New Roman"/>
          <w:sz w:val="20"/>
          <w:szCs w:val="20"/>
        </w:rPr>
        <w:t xml:space="preserve">. --- </w:t>
      </w:r>
      <w:r w:rsidR="00C71035" w:rsidRPr="006D2651">
        <w:rPr>
          <w:rFonts w:ascii="Times New Roman" w:hAnsi="Times New Roman"/>
          <w:sz w:val="20"/>
          <w:szCs w:val="20"/>
        </w:rPr>
        <w:t xml:space="preserve">In exercise of the powers conferred by clause (t) of sub-section (2) of section 61 of the Petroleum and Natural Gas Regulatory Board Act, 2006 (19 of 2006), the Petroleum and Natural Gas Regulatory Board hereby makes the following regulations, in supersession of the Petroleum and Natural Gas Regulatory Board (Determination of Petroleum and Petroleum Products Pipeline Transportation Tariff) Regulations, 2010, so as to determine the tariff of Petroleum and Petroleum Product </w:t>
      </w:r>
      <w:proofErr w:type="gramStart"/>
      <w:r w:rsidR="00C71035" w:rsidRPr="006D2651">
        <w:rPr>
          <w:rFonts w:ascii="Times New Roman" w:hAnsi="Times New Roman"/>
          <w:sz w:val="20"/>
          <w:szCs w:val="20"/>
        </w:rPr>
        <w:t>Pipelines:-</w:t>
      </w:r>
      <w:proofErr w:type="gramEnd"/>
      <w:r w:rsidR="00C71035" w:rsidRPr="006D2651">
        <w:rPr>
          <w:rFonts w:ascii="Times New Roman" w:hAnsi="Times New Roman"/>
          <w:sz w:val="20"/>
          <w:szCs w:val="20"/>
        </w:rPr>
        <w:t xml:space="preserve"> </w:t>
      </w:r>
    </w:p>
    <w:p w14:paraId="47D49260" w14:textId="77777777" w:rsidR="00C71035" w:rsidRPr="006D2651" w:rsidRDefault="00C71035" w:rsidP="006D2651">
      <w:pPr>
        <w:pStyle w:val="ListParagraph"/>
        <w:numPr>
          <w:ilvl w:val="0"/>
          <w:numId w:val="24"/>
        </w:numPr>
        <w:jc w:val="both"/>
        <w:rPr>
          <w:rFonts w:ascii="Times New Roman" w:hAnsi="Times New Roman"/>
          <w:b/>
          <w:sz w:val="20"/>
          <w:szCs w:val="20"/>
        </w:rPr>
      </w:pPr>
      <w:r w:rsidRPr="006D2651">
        <w:rPr>
          <w:rFonts w:ascii="Times New Roman" w:hAnsi="Times New Roman"/>
          <w:b/>
          <w:sz w:val="20"/>
          <w:szCs w:val="20"/>
        </w:rPr>
        <w:t>Short title and commencement</w:t>
      </w:r>
    </w:p>
    <w:p w14:paraId="41003A93" w14:textId="77777777" w:rsidR="00C71035" w:rsidRPr="006D2651" w:rsidRDefault="00C71035" w:rsidP="006D2651">
      <w:pPr>
        <w:numPr>
          <w:ilvl w:val="0"/>
          <w:numId w:val="1"/>
        </w:numPr>
        <w:spacing w:after="100"/>
        <w:ind w:left="1134" w:hanging="357"/>
        <w:jc w:val="both"/>
        <w:rPr>
          <w:rFonts w:ascii="Times New Roman" w:hAnsi="Times New Roman"/>
          <w:sz w:val="20"/>
          <w:szCs w:val="20"/>
        </w:rPr>
      </w:pPr>
      <w:r w:rsidRPr="006D2651">
        <w:rPr>
          <w:rFonts w:ascii="Times New Roman" w:hAnsi="Times New Roman"/>
          <w:sz w:val="20"/>
          <w:szCs w:val="20"/>
        </w:rPr>
        <w:t>These regulations may be called the Petroleum and Natural Gas Regulatory Board (Determination of Petroleum and Petroleum Products Pipeline Transportation Tariff) Regulations, 2024.</w:t>
      </w:r>
    </w:p>
    <w:p w14:paraId="40D4011A" w14:textId="77777777" w:rsidR="00C71035" w:rsidRPr="006D2651" w:rsidRDefault="00C71035" w:rsidP="006D2651">
      <w:pPr>
        <w:numPr>
          <w:ilvl w:val="0"/>
          <w:numId w:val="1"/>
        </w:numPr>
        <w:spacing w:after="100"/>
        <w:ind w:left="1134" w:hanging="357"/>
        <w:jc w:val="both"/>
        <w:rPr>
          <w:rFonts w:ascii="Times New Roman" w:hAnsi="Times New Roman"/>
          <w:sz w:val="20"/>
          <w:szCs w:val="20"/>
        </w:rPr>
      </w:pPr>
      <w:r w:rsidRPr="006D2651">
        <w:rPr>
          <w:rFonts w:ascii="Times New Roman" w:hAnsi="Times New Roman"/>
          <w:sz w:val="20"/>
          <w:szCs w:val="20"/>
        </w:rPr>
        <w:t>These shall come into force on the 1</w:t>
      </w:r>
      <w:r w:rsidRPr="006D2651">
        <w:rPr>
          <w:rFonts w:ascii="Times New Roman" w:hAnsi="Times New Roman"/>
          <w:sz w:val="20"/>
          <w:szCs w:val="20"/>
          <w:vertAlign w:val="superscript"/>
        </w:rPr>
        <w:t>st</w:t>
      </w:r>
      <w:r w:rsidRPr="006D2651">
        <w:rPr>
          <w:rFonts w:ascii="Times New Roman" w:hAnsi="Times New Roman"/>
          <w:sz w:val="20"/>
          <w:szCs w:val="20"/>
        </w:rPr>
        <w:t xml:space="preserve"> day of the month following the date of their publication in the Official Gazette.</w:t>
      </w:r>
    </w:p>
    <w:p w14:paraId="203B2B46" w14:textId="77777777" w:rsidR="00C71035" w:rsidRPr="006D2651" w:rsidRDefault="00C71035" w:rsidP="006D2651">
      <w:pPr>
        <w:pStyle w:val="ListParagraph"/>
        <w:numPr>
          <w:ilvl w:val="0"/>
          <w:numId w:val="24"/>
        </w:numPr>
        <w:ind w:left="329" w:hanging="357"/>
        <w:jc w:val="both"/>
        <w:rPr>
          <w:rFonts w:ascii="Times New Roman" w:hAnsi="Times New Roman"/>
          <w:b/>
          <w:sz w:val="20"/>
          <w:szCs w:val="20"/>
        </w:rPr>
      </w:pPr>
      <w:r w:rsidRPr="006D2651">
        <w:rPr>
          <w:rFonts w:ascii="Times New Roman" w:hAnsi="Times New Roman"/>
          <w:b/>
          <w:sz w:val="20"/>
          <w:szCs w:val="20"/>
        </w:rPr>
        <w:t>Definitions</w:t>
      </w:r>
    </w:p>
    <w:p w14:paraId="18F7D454" w14:textId="77777777" w:rsidR="00C71035" w:rsidRPr="006D2651" w:rsidRDefault="00C71035" w:rsidP="006D2651">
      <w:pPr>
        <w:pStyle w:val="ListParagraph"/>
        <w:numPr>
          <w:ilvl w:val="0"/>
          <w:numId w:val="25"/>
        </w:numPr>
        <w:jc w:val="both"/>
        <w:rPr>
          <w:rFonts w:ascii="Times New Roman" w:hAnsi="Times New Roman"/>
          <w:sz w:val="20"/>
          <w:szCs w:val="20"/>
        </w:rPr>
      </w:pPr>
      <w:r w:rsidRPr="006D2651">
        <w:rPr>
          <w:rFonts w:ascii="Times New Roman" w:hAnsi="Times New Roman"/>
          <w:sz w:val="20"/>
          <w:szCs w:val="20"/>
        </w:rPr>
        <w:t xml:space="preserve"> In these regulations, unless the context otherwise requires, --</w:t>
      </w:r>
    </w:p>
    <w:p w14:paraId="76996152" w14:textId="77777777" w:rsidR="00C71035" w:rsidRPr="006D2651" w:rsidRDefault="00C71035" w:rsidP="006D2651">
      <w:pPr>
        <w:numPr>
          <w:ilvl w:val="0"/>
          <w:numId w:val="2"/>
        </w:numPr>
        <w:spacing w:after="100"/>
        <w:ind w:left="1560" w:hanging="357"/>
        <w:jc w:val="both"/>
        <w:rPr>
          <w:rFonts w:ascii="Times New Roman" w:hAnsi="Times New Roman"/>
          <w:sz w:val="20"/>
          <w:szCs w:val="20"/>
        </w:rPr>
      </w:pPr>
      <w:r w:rsidRPr="006D2651">
        <w:rPr>
          <w:rFonts w:ascii="Times New Roman" w:hAnsi="Times New Roman"/>
          <w:sz w:val="20"/>
          <w:szCs w:val="20"/>
        </w:rPr>
        <w:t>“Act” means the Petroleum and Natural Gas Regulatory Board Act, 2006 (19 of 2006);</w:t>
      </w:r>
    </w:p>
    <w:p w14:paraId="75377994" w14:textId="77777777" w:rsidR="00C71035" w:rsidRPr="006D2651" w:rsidRDefault="00C71035" w:rsidP="006D2651">
      <w:pPr>
        <w:numPr>
          <w:ilvl w:val="0"/>
          <w:numId w:val="2"/>
        </w:numPr>
        <w:spacing w:after="100"/>
        <w:ind w:left="1560" w:hanging="357"/>
        <w:jc w:val="both"/>
        <w:rPr>
          <w:rFonts w:ascii="Times New Roman" w:hAnsi="Times New Roman"/>
          <w:sz w:val="20"/>
          <w:szCs w:val="20"/>
        </w:rPr>
      </w:pPr>
      <w:r w:rsidRPr="006D2651">
        <w:rPr>
          <w:rFonts w:ascii="Times New Roman" w:hAnsi="Times New Roman"/>
          <w:sz w:val="20"/>
          <w:szCs w:val="20"/>
        </w:rPr>
        <w:t>“appointed day” means the date of October 1, 2007 when the Central Government notified the establishment of the Petroleum and Natural Gas Regulatory Board;</w:t>
      </w:r>
    </w:p>
    <w:p w14:paraId="6C400718" w14:textId="77777777" w:rsidR="00C71035" w:rsidRPr="006D2651" w:rsidRDefault="00C71035" w:rsidP="006D2651">
      <w:pPr>
        <w:numPr>
          <w:ilvl w:val="0"/>
          <w:numId w:val="2"/>
        </w:numPr>
        <w:spacing w:after="100"/>
        <w:ind w:left="1560" w:hanging="357"/>
        <w:jc w:val="both"/>
        <w:rPr>
          <w:rFonts w:ascii="Times New Roman" w:hAnsi="Times New Roman"/>
          <w:sz w:val="20"/>
          <w:szCs w:val="20"/>
        </w:rPr>
      </w:pPr>
      <w:r w:rsidRPr="006D2651">
        <w:rPr>
          <w:rFonts w:ascii="Times New Roman" w:hAnsi="Times New Roman"/>
          <w:sz w:val="20"/>
          <w:szCs w:val="20"/>
        </w:rPr>
        <w:t>“Board” means the Petroleum and Natural Gas Regulatory Board established under sub-section (1) of the Section 3 of the Act;</w:t>
      </w:r>
    </w:p>
    <w:p w14:paraId="6F5D05F2" w14:textId="77777777" w:rsidR="00C71035" w:rsidRPr="006D2651" w:rsidRDefault="00C71035" w:rsidP="006D2651">
      <w:pPr>
        <w:numPr>
          <w:ilvl w:val="0"/>
          <w:numId w:val="2"/>
        </w:numPr>
        <w:spacing w:after="100"/>
        <w:ind w:left="1560" w:hanging="357"/>
        <w:jc w:val="both"/>
        <w:rPr>
          <w:rFonts w:ascii="Times New Roman" w:hAnsi="Times New Roman"/>
          <w:sz w:val="20"/>
          <w:szCs w:val="20"/>
        </w:rPr>
      </w:pPr>
      <w:r w:rsidRPr="006D2651">
        <w:rPr>
          <w:rFonts w:ascii="Times New Roman" w:hAnsi="Times New Roman"/>
          <w:sz w:val="20"/>
          <w:szCs w:val="20"/>
        </w:rPr>
        <w:t>“Petroleum and Petroleum Products Pipeline” shall have same meaning as defined in the Petroleum and Natural Gas Regulatory Board (Authorizing Entities to Lay, Build, Operate or Expand Petroleum and Petroleum Products Pipelines) Regulations, 2010;</w:t>
      </w:r>
    </w:p>
    <w:p w14:paraId="5EBA1A36" w14:textId="77777777" w:rsidR="00C71035" w:rsidRPr="006D2651" w:rsidRDefault="00C71035" w:rsidP="006D2651">
      <w:pPr>
        <w:numPr>
          <w:ilvl w:val="0"/>
          <w:numId w:val="2"/>
        </w:numPr>
        <w:spacing w:after="100"/>
        <w:ind w:left="1555" w:hanging="357"/>
        <w:jc w:val="both"/>
        <w:rPr>
          <w:rFonts w:ascii="Times New Roman" w:hAnsi="Times New Roman"/>
          <w:sz w:val="20"/>
          <w:szCs w:val="20"/>
        </w:rPr>
      </w:pPr>
      <w:r w:rsidRPr="006D2651">
        <w:rPr>
          <w:rFonts w:ascii="Times New Roman" w:hAnsi="Times New Roman"/>
          <w:sz w:val="20"/>
          <w:szCs w:val="20"/>
        </w:rPr>
        <w:t>“Petroleum and Petroleum Products Pipeline Transportation Tariff” means the unit rate of tariff for petroleum and petroleum products pipeline (excluding statutory taxes and levies) in rupees per metric ton (₹/MT) or in rupees per metric ton per kilo meter (₹/MT/KM), rounded off to two decimal place, for transport of petroleum and petroleum products including the impact of storage facilities essential for operating a petroleum and petroleum products pipeline system as common or contract carrier;</w:t>
      </w:r>
    </w:p>
    <w:p w14:paraId="248C68DA" w14:textId="77777777" w:rsidR="00C71035" w:rsidRPr="006D2651" w:rsidRDefault="00C71035" w:rsidP="006D2651">
      <w:pPr>
        <w:numPr>
          <w:ilvl w:val="0"/>
          <w:numId w:val="2"/>
        </w:numPr>
        <w:spacing w:after="100"/>
        <w:ind w:left="1555" w:hanging="357"/>
        <w:jc w:val="both"/>
        <w:rPr>
          <w:rFonts w:ascii="Times New Roman" w:hAnsi="Times New Roman"/>
          <w:sz w:val="20"/>
          <w:szCs w:val="20"/>
        </w:rPr>
      </w:pPr>
      <w:r w:rsidRPr="006D2651">
        <w:rPr>
          <w:rFonts w:ascii="Times New Roman" w:hAnsi="Times New Roman"/>
          <w:sz w:val="20"/>
          <w:szCs w:val="20"/>
        </w:rPr>
        <w:t>“Schedule” means the schedule to these regulations;</w:t>
      </w:r>
    </w:p>
    <w:p w14:paraId="399F47DD" w14:textId="77777777" w:rsidR="00C71035" w:rsidRPr="006D2651" w:rsidRDefault="00C71035" w:rsidP="006D2651">
      <w:pPr>
        <w:numPr>
          <w:ilvl w:val="0"/>
          <w:numId w:val="2"/>
        </w:numPr>
        <w:spacing w:after="100"/>
        <w:ind w:left="1555"/>
        <w:jc w:val="both"/>
        <w:rPr>
          <w:rFonts w:ascii="Times New Roman" w:hAnsi="Times New Roman"/>
          <w:sz w:val="20"/>
          <w:szCs w:val="20"/>
        </w:rPr>
      </w:pPr>
      <w:r w:rsidRPr="006D2651">
        <w:rPr>
          <w:rFonts w:ascii="Times New Roman" w:hAnsi="Times New Roman"/>
          <w:sz w:val="20"/>
          <w:szCs w:val="20"/>
        </w:rPr>
        <w:t>“Tariff review” means the review of the unit petroleum and petroleum products pipeline tariff after every five consecutive years by the Board with the first tariff review to be done after the end of five consecutive years after the end of the unit petroleum and petroleum products pipeline tariff period as specified under below:</w:t>
      </w:r>
    </w:p>
    <w:p w14:paraId="2E94CCDE" w14:textId="77777777" w:rsidR="00C71035" w:rsidRPr="006D2651" w:rsidRDefault="00C71035" w:rsidP="006D2651">
      <w:pPr>
        <w:spacing w:after="100"/>
        <w:ind w:left="1555" w:firstLine="605"/>
        <w:jc w:val="both"/>
        <w:rPr>
          <w:rFonts w:ascii="Times New Roman" w:hAnsi="Times New Roman"/>
          <w:sz w:val="20"/>
          <w:szCs w:val="20"/>
        </w:rPr>
      </w:pPr>
      <w:r w:rsidRPr="006D2651">
        <w:rPr>
          <w:rFonts w:ascii="Times New Roman" w:hAnsi="Times New Roman"/>
          <w:sz w:val="20"/>
          <w:szCs w:val="20"/>
        </w:rPr>
        <w:t>Provided that the unit petroleum and petroleum products pipeline tariff so determined at the time of any tariff review shall apply for the period up to the next tariff review:</w:t>
      </w:r>
    </w:p>
    <w:p w14:paraId="1D84237D" w14:textId="77777777" w:rsidR="00C71035" w:rsidRPr="006D2651" w:rsidRDefault="00C71035" w:rsidP="006D2651">
      <w:pPr>
        <w:spacing w:after="100"/>
        <w:ind w:left="1555" w:firstLine="605"/>
        <w:jc w:val="both"/>
        <w:rPr>
          <w:rFonts w:ascii="Times New Roman" w:hAnsi="Times New Roman"/>
          <w:sz w:val="20"/>
          <w:szCs w:val="20"/>
        </w:rPr>
      </w:pPr>
      <w:r w:rsidRPr="006D2651">
        <w:rPr>
          <w:rFonts w:ascii="Times New Roman" w:hAnsi="Times New Roman"/>
          <w:sz w:val="20"/>
          <w:szCs w:val="20"/>
        </w:rPr>
        <w:t>Provided that the gap between two tariff reviews shall not be less than two consecutive financial years after the end of the financial year in which last tariff fixation occurred:</w:t>
      </w:r>
    </w:p>
    <w:p w14:paraId="715226C8" w14:textId="77777777" w:rsidR="00C71035" w:rsidRPr="006D2651" w:rsidRDefault="00C71035" w:rsidP="006D2651">
      <w:pPr>
        <w:spacing w:after="100"/>
        <w:ind w:left="1555" w:firstLine="605"/>
        <w:jc w:val="both"/>
        <w:rPr>
          <w:rFonts w:ascii="Times New Roman" w:hAnsi="Times New Roman"/>
          <w:sz w:val="20"/>
          <w:szCs w:val="20"/>
        </w:rPr>
      </w:pPr>
      <w:r w:rsidRPr="006D2651">
        <w:rPr>
          <w:rFonts w:ascii="Times New Roman" w:hAnsi="Times New Roman"/>
          <w:sz w:val="20"/>
          <w:szCs w:val="20"/>
        </w:rPr>
        <w:t>Provided further that the tariff review can be done earlier in terms of provisions of sub-clause (2) of clause 10 of Schedule B;</w:t>
      </w:r>
    </w:p>
    <w:p w14:paraId="77A6C595" w14:textId="7A6B3CDD" w:rsidR="00C71035" w:rsidRDefault="00C71035" w:rsidP="006D2651">
      <w:pPr>
        <w:numPr>
          <w:ilvl w:val="0"/>
          <w:numId w:val="2"/>
        </w:numPr>
        <w:spacing w:after="100"/>
        <w:ind w:left="1560"/>
        <w:jc w:val="both"/>
        <w:rPr>
          <w:rFonts w:ascii="Times New Roman" w:hAnsi="Times New Roman"/>
          <w:sz w:val="20"/>
          <w:szCs w:val="20"/>
        </w:rPr>
      </w:pPr>
      <w:r w:rsidRPr="006D2651">
        <w:rPr>
          <w:rFonts w:ascii="Times New Roman" w:hAnsi="Times New Roman"/>
          <w:sz w:val="20"/>
          <w:szCs w:val="20"/>
        </w:rPr>
        <w:lastRenderedPageBreak/>
        <w:t>“Tap off point (TOP)” shall have same meaning as defined in the Petroleum and Natural Gas Regulatory Board (Authorizing Entities to Lay, Build, Operate or Expand Petroleum and Petroleum Products Pipelines) Regulations, 2010.</w:t>
      </w:r>
    </w:p>
    <w:p w14:paraId="7F0AEA69" w14:textId="64D842E4" w:rsidR="00130B24" w:rsidRDefault="00130B24" w:rsidP="00130B24">
      <w:pPr>
        <w:spacing w:after="100"/>
        <w:ind w:left="1560"/>
        <w:jc w:val="both"/>
        <w:rPr>
          <w:rFonts w:ascii="Times New Roman" w:hAnsi="Times New Roman"/>
          <w:sz w:val="20"/>
          <w:szCs w:val="20"/>
        </w:rPr>
      </w:pPr>
    </w:p>
    <w:p w14:paraId="70F43CAC" w14:textId="52C3DEEA" w:rsidR="00130B24" w:rsidRPr="006D2651" w:rsidRDefault="00130B24" w:rsidP="00130B24">
      <w:pPr>
        <w:spacing w:after="100"/>
        <w:ind w:left="1560"/>
        <w:jc w:val="both"/>
        <w:rPr>
          <w:rFonts w:ascii="Times New Roman" w:hAnsi="Times New Roman"/>
          <w:sz w:val="20"/>
          <w:szCs w:val="20"/>
        </w:rPr>
      </w:pPr>
    </w:p>
    <w:p w14:paraId="53F6D9F1" w14:textId="77777777" w:rsidR="00C71035" w:rsidRPr="006D2651" w:rsidRDefault="00C71035" w:rsidP="006D2651">
      <w:pPr>
        <w:numPr>
          <w:ilvl w:val="0"/>
          <w:numId w:val="2"/>
        </w:numPr>
        <w:spacing w:after="100"/>
        <w:ind w:left="1560"/>
        <w:jc w:val="both"/>
        <w:rPr>
          <w:rFonts w:ascii="Times New Roman" w:hAnsi="Times New Roman"/>
          <w:sz w:val="20"/>
          <w:szCs w:val="20"/>
        </w:rPr>
      </w:pPr>
      <w:r w:rsidRPr="006D2651">
        <w:rPr>
          <w:rFonts w:ascii="Times New Roman" w:hAnsi="Times New Roman"/>
          <w:sz w:val="20"/>
          <w:szCs w:val="20"/>
        </w:rPr>
        <w:t>“Transportation loss” shall have same meaning as defined in the Petroleum and Natural Gas Regulatory Board (Access Code for Common Carrier or Contract Carrier Petroleum and Petroleum Products Pipelines) Regulations, 2016.</w:t>
      </w:r>
    </w:p>
    <w:p w14:paraId="4013D349" w14:textId="77777777" w:rsidR="00C71035" w:rsidRPr="006D2651" w:rsidRDefault="00C71035" w:rsidP="006D2651">
      <w:pPr>
        <w:pStyle w:val="ListParagraph"/>
        <w:numPr>
          <w:ilvl w:val="0"/>
          <w:numId w:val="25"/>
        </w:numPr>
        <w:jc w:val="both"/>
        <w:rPr>
          <w:rFonts w:ascii="Times New Roman" w:hAnsi="Times New Roman"/>
          <w:sz w:val="20"/>
          <w:szCs w:val="20"/>
        </w:rPr>
      </w:pPr>
      <w:r w:rsidRPr="006D2651">
        <w:rPr>
          <w:rFonts w:ascii="Times New Roman" w:hAnsi="Times New Roman"/>
          <w:sz w:val="20"/>
          <w:szCs w:val="20"/>
        </w:rPr>
        <w:t>Words and expressions used and not defined in these regulations, but defined in the Act or in the rules or regulations made thereunder, shall have the meanings respectively assigned to them in the Act or in the rules or regulations, as the case may be.</w:t>
      </w:r>
    </w:p>
    <w:p w14:paraId="539D5E1A" w14:textId="77777777" w:rsidR="00C71035" w:rsidRPr="006D2651" w:rsidRDefault="00C71035" w:rsidP="006D2651">
      <w:pPr>
        <w:pStyle w:val="ListParagraph"/>
        <w:numPr>
          <w:ilvl w:val="0"/>
          <w:numId w:val="24"/>
        </w:numPr>
        <w:jc w:val="both"/>
        <w:rPr>
          <w:rFonts w:ascii="Times New Roman" w:hAnsi="Times New Roman"/>
          <w:b/>
          <w:sz w:val="20"/>
          <w:szCs w:val="20"/>
        </w:rPr>
      </w:pPr>
      <w:r w:rsidRPr="006D2651">
        <w:rPr>
          <w:rFonts w:ascii="Times New Roman" w:hAnsi="Times New Roman"/>
          <w:b/>
          <w:sz w:val="20"/>
          <w:szCs w:val="20"/>
        </w:rPr>
        <w:t>Application</w:t>
      </w:r>
    </w:p>
    <w:p w14:paraId="572FE954" w14:textId="77777777" w:rsidR="00C71035" w:rsidRPr="006D2651" w:rsidRDefault="00C71035" w:rsidP="006D2651">
      <w:pPr>
        <w:ind w:firstLine="333"/>
        <w:jc w:val="both"/>
        <w:rPr>
          <w:rFonts w:ascii="Times New Roman" w:hAnsi="Times New Roman"/>
          <w:sz w:val="20"/>
          <w:szCs w:val="20"/>
        </w:rPr>
      </w:pPr>
      <w:r w:rsidRPr="006D2651">
        <w:rPr>
          <w:rFonts w:ascii="Times New Roman" w:hAnsi="Times New Roman"/>
          <w:sz w:val="20"/>
          <w:szCs w:val="20"/>
        </w:rPr>
        <w:t>These regulations shall apply to an entity:</w:t>
      </w:r>
    </w:p>
    <w:p w14:paraId="64172C35" w14:textId="77777777" w:rsidR="00C71035" w:rsidRPr="006D2651" w:rsidRDefault="00C71035" w:rsidP="006D2651">
      <w:pPr>
        <w:pStyle w:val="ListParagraph"/>
        <w:numPr>
          <w:ilvl w:val="0"/>
          <w:numId w:val="26"/>
        </w:numPr>
        <w:spacing w:after="100"/>
        <w:ind w:left="1168" w:hanging="357"/>
        <w:contextualSpacing w:val="0"/>
        <w:jc w:val="both"/>
        <w:rPr>
          <w:rFonts w:ascii="Times New Roman" w:hAnsi="Times New Roman"/>
          <w:sz w:val="20"/>
          <w:szCs w:val="20"/>
        </w:rPr>
      </w:pPr>
      <w:r w:rsidRPr="006D2651">
        <w:rPr>
          <w:rFonts w:ascii="Times New Roman" w:hAnsi="Times New Roman"/>
          <w:sz w:val="20"/>
          <w:szCs w:val="20"/>
        </w:rPr>
        <w:t xml:space="preserve">authorized by the Central Government before the appointed day and accepted by the Board under regulation 17 of the Petroleum and Natural Gas Regulatory Board (Authorizing Entities to Lay, Build, Operate or Expand Petroleum and Petroleum Products Pipelines) Regulations, 2010 for laying, building, operating, or expanding a petroleum and petroleum products pipeline; </w:t>
      </w:r>
    </w:p>
    <w:p w14:paraId="6807CE49" w14:textId="77777777" w:rsidR="00C71035" w:rsidRPr="006D2651" w:rsidRDefault="00C71035" w:rsidP="006D2651">
      <w:pPr>
        <w:pStyle w:val="ListParagraph"/>
        <w:numPr>
          <w:ilvl w:val="0"/>
          <w:numId w:val="26"/>
        </w:numPr>
        <w:spacing w:after="100"/>
        <w:ind w:left="1168" w:hanging="357"/>
        <w:contextualSpacing w:val="0"/>
        <w:jc w:val="both"/>
        <w:rPr>
          <w:rFonts w:ascii="Times New Roman" w:hAnsi="Times New Roman"/>
          <w:sz w:val="20"/>
          <w:szCs w:val="20"/>
        </w:rPr>
      </w:pPr>
      <w:r w:rsidRPr="006D2651">
        <w:rPr>
          <w:rFonts w:ascii="Times New Roman" w:hAnsi="Times New Roman"/>
          <w:sz w:val="20"/>
          <w:szCs w:val="20"/>
        </w:rPr>
        <w:t>laying, building, operating, or expanding petroleum and petroleum products pipeline before the appointed day and authorized by the Board under regulation 18 of the Petroleum and Natural Gas Regulatory Board (Authorizing Entities to Lay, Build, Operate or Expand Petroleum and Petroleum Products Pipelines) Regulations, 2010;</w:t>
      </w:r>
    </w:p>
    <w:p w14:paraId="0E81A8FB" w14:textId="77777777" w:rsidR="00C71035" w:rsidRPr="006D2651" w:rsidRDefault="00C71035" w:rsidP="006D2651">
      <w:pPr>
        <w:pStyle w:val="ListParagraph"/>
        <w:numPr>
          <w:ilvl w:val="0"/>
          <w:numId w:val="26"/>
        </w:numPr>
        <w:spacing w:after="100"/>
        <w:ind w:left="1168" w:hanging="357"/>
        <w:contextualSpacing w:val="0"/>
        <w:jc w:val="both"/>
        <w:rPr>
          <w:rFonts w:ascii="Times New Roman" w:hAnsi="Times New Roman"/>
          <w:sz w:val="20"/>
          <w:szCs w:val="20"/>
        </w:rPr>
      </w:pPr>
      <w:r w:rsidRPr="006D2651">
        <w:rPr>
          <w:rFonts w:ascii="Times New Roman" w:hAnsi="Times New Roman"/>
          <w:sz w:val="20"/>
          <w:szCs w:val="20"/>
        </w:rPr>
        <w:t>laying, building, operating, or expanding a dedicated pipeline which is converted into a petroleum and petroleum product pipeline under the provisions of sub-regulation (1) or (2) of regulation 19 of the Petroleum and Natural Gas Regulatory Board (Authorizing Entities to Lay, Build, Operate or Expand Petroleum and Petroleum Products Pipelines) Regulations, 2010;</w:t>
      </w:r>
    </w:p>
    <w:p w14:paraId="1F3C4C39" w14:textId="77777777" w:rsidR="00C71035" w:rsidRPr="006D2651" w:rsidRDefault="00C71035" w:rsidP="006D2651">
      <w:pPr>
        <w:pStyle w:val="ListParagraph"/>
        <w:numPr>
          <w:ilvl w:val="0"/>
          <w:numId w:val="26"/>
        </w:numPr>
        <w:spacing w:after="100"/>
        <w:ind w:left="1168" w:hanging="357"/>
        <w:contextualSpacing w:val="0"/>
        <w:jc w:val="both"/>
        <w:rPr>
          <w:rFonts w:ascii="Times New Roman" w:hAnsi="Times New Roman"/>
          <w:sz w:val="20"/>
          <w:szCs w:val="20"/>
        </w:rPr>
      </w:pPr>
      <w:r w:rsidRPr="006D2651">
        <w:rPr>
          <w:rFonts w:ascii="Times New Roman" w:hAnsi="Times New Roman"/>
          <w:sz w:val="20"/>
          <w:szCs w:val="20"/>
        </w:rPr>
        <w:t>whose existing petroleum and petroleum product pipeline has been declared as common or contract carrier by the Board under section 20 of the Act, 2006 read with Regulation 10 of the Petroleum and Natural Gas Regulatory Board (Guiding Principles for Declaring or Authorizing Petroleum and Petroleum Products Pipeline as Common Carrier or Contract Carrier) Regulations, 2012;</w:t>
      </w:r>
    </w:p>
    <w:p w14:paraId="6744F288" w14:textId="18AE4581" w:rsidR="00C71035" w:rsidRPr="006D2651" w:rsidRDefault="00C71035" w:rsidP="006D2651">
      <w:pPr>
        <w:pStyle w:val="ListParagraph"/>
        <w:numPr>
          <w:ilvl w:val="0"/>
          <w:numId w:val="26"/>
        </w:numPr>
        <w:spacing w:after="100"/>
        <w:ind w:left="1168" w:hanging="357"/>
        <w:contextualSpacing w:val="0"/>
        <w:jc w:val="both"/>
        <w:rPr>
          <w:rFonts w:ascii="Times New Roman" w:hAnsi="Times New Roman"/>
          <w:sz w:val="20"/>
          <w:szCs w:val="20"/>
        </w:rPr>
      </w:pPr>
      <w:r w:rsidRPr="006D2651">
        <w:rPr>
          <w:rFonts w:ascii="Times New Roman" w:hAnsi="Times New Roman"/>
          <w:sz w:val="20"/>
          <w:szCs w:val="20"/>
        </w:rPr>
        <w:t xml:space="preserve">authorized by the Board </w:t>
      </w:r>
      <w:r w:rsidR="00AF339E" w:rsidRPr="006D2651">
        <w:rPr>
          <w:rFonts w:ascii="Times New Roman" w:hAnsi="Times New Roman"/>
          <w:sz w:val="20"/>
          <w:szCs w:val="20"/>
        </w:rPr>
        <w:t xml:space="preserve">under </w:t>
      </w:r>
      <w:r w:rsidRPr="006D2651">
        <w:rPr>
          <w:rFonts w:ascii="Times New Roman" w:hAnsi="Times New Roman"/>
          <w:sz w:val="20"/>
          <w:szCs w:val="20"/>
        </w:rPr>
        <w:t xml:space="preserve">the </w:t>
      </w:r>
      <w:r w:rsidR="00B1387E" w:rsidRPr="006D2651">
        <w:rPr>
          <w:rFonts w:ascii="Times New Roman" w:hAnsi="Times New Roman"/>
          <w:sz w:val="20"/>
          <w:szCs w:val="20"/>
        </w:rPr>
        <w:t xml:space="preserve">regulations prior </w:t>
      </w:r>
      <w:r w:rsidRPr="006D2651">
        <w:rPr>
          <w:rFonts w:ascii="Times New Roman" w:hAnsi="Times New Roman"/>
          <w:sz w:val="20"/>
          <w:szCs w:val="20"/>
        </w:rPr>
        <w:t xml:space="preserve">notification of the Petroleum and Natural Gas Regulatory Board (Authorizing Entities to Lay, Build, Operate or Expand Petroleum and Petroleum Products Pipelines) Amendment Regulations, 2023 for laying, building, operating or expanding petroleum and petroleum products pipeline under regulation 5 by following the bidding criteria as specified under clause (a) and clause (b) of sub-regulation (1) of regulation 7 of the Petroleum and Natural Gas Regulatory Board (Authorizing Entities to Lay, Build, Operate or Expand Petroleum and Petroleum Products Pipelines) Regulations, 2010. </w:t>
      </w:r>
    </w:p>
    <w:p w14:paraId="5B1944B7" w14:textId="77777777" w:rsidR="00C71035" w:rsidRPr="006D2651" w:rsidRDefault="00C71035" w:rsidP="006D2651">
      <w:pPr>
        <w:pStyle w:val="ListParagraph"/>
        <w:numPr>
          <w:ilvl w:val="0"/>
          <w:numId w:val="24"/>
        </w:numPr>
        <w:spacing w:before="240"/>
        <w:ind w:left="329" w:hanging="357"/>
        <w:jc w:val="both"/>
        <w:rPr>
          <w:rFonts w:ascii="Times New Roman" w:hAnsi="Times New Roman"/>
          <w:b/>
          <w:sz w:val="20"/>
          <w:szCs w:val="20"/>
        </w:rPr>
      </w:pPr>
      <w:r w:rsidRPr="006D2651">
        <w:rPr>
          <w:rFonts w:ascii="Times New Roman" w:hAnsi="Times New Roman"/>
          <w:b/>
          <w:sz w:val="20"/>
          <w:szCs w:val="20"/>
        </w:rPr>
        <w:t>Determination of petroleum and petroleum products pipeline transportation tariff</w:t>
      </w:r>
    </w:p>
    <w:p w14:paraId="736DFD3D" w14:textId="77777777" w:rsidR="00C71035" w:rsidRPr="006D2651" w:rsidRDefault="00C71035" w:rsidP="006D2651">
      <w:pPr>
        <w:pStyle w:val="ListParagraph"/>
        <w:spacing w:before="240" w:after="0"/>
        <w:ind w:left="333"/>
        <w:jc w:val="both"/>
        <w:rPr>
          <w:rFonts w:ascii="Times New Roman" w:hAnsi="Times New Roman"/>
          <w:sz w:val="20"/>
          <w:szCs w:val="20"/>
        </w:rPr>
      </w:pPr>
      <w:r w:rsidRPr="006D2651">
        <w:rPr>
          <w:rFonts w:ascii="Times New Roman" w:hAnsi="Times New Roman"/>
          <w:sz w:val="20"/>
          <w:szCs w:val="20"/>
        </w:rPr>
        <w:t>Petroleum and petroleum products pipeline tariff in respect of any entity covered under sub-regulations (1) to (5) of regulation 3 of these regulations shall be determined as per the procedure specified in regulation 5, which shall be charged on a non-discriminatory basis.</w:t>
      </w:r>
    </w:p>
    <w:p w14:paraId="5D99086A" w14:textId="77777777" w:rsidR="00C71035" w:rsidRPr="006D2651" w:rsidRDefault="00C71035" w:rsidP="006D2651">
      <w:pPr>
        <w:pStyle w:val="ListParagraph"/>
        <w:spacing w:before="240" w:after="0"/>
        <w:ind w:left="333"/>
        <w:jc w:val="both"/>
        <w:rPr>
          <w:rFonts w:ascii="Times New Roman" w:hAnsi="Times New Roman"/>
          <w:sz w:val="20"/>
          <w:szCs w:val="20"/>
        </w:rPr>
      </w:pPr>
    </w:p>
    <w:p w14:paraId="52E4C311" w14:textId="77777777" w:rsidR="00C71035" w:rsidRPr="006D2651" w:rsidRDefault="00C71035" w:rsidP="006D2651">
      <w:pPr>
        <w:pStyle w:val="ListParagraph"/>
        <w:numPr>
          <w:ilvl w:val="0"/>
          <w:numId w:val="24"/>
        </w:numPr>
        <w:spacing w:before="240" w:after="0"/>
        <w:jc w:val="both"/>
        <w:rPr>
          <w:rFonts w:ascii="Times New Roman" w:hAnsi="Times New Roman"/>
          <w:b/>
          <w:sz w:val="20"/>
          <w:szCs w:val="20"/>
        </w:rPr>
      </w:pPr>
      <w:r w:rsidRPr="006D2651">
        <w:rPr>
          <w:rFonts w:ascii="Times New Roman" w:hAnsi="Times New Roman"/>
          <w:b/>
          <w:sz w:val="20"/>
          <w:szCs w:val="20"/>
        </w:rPr>
        <w:t>Procedure for determination of tariff for petroleum and petroleum product pipeline</w:t>
      </w:r>
    </w:p>
    <w:p w14:paraId="2D1C46FB" w14:textId="77777777" w:rsidR="00C71035" w:rsidRPr="006D2651" w:rsidRDefault="00C71035" w:rsidP="006D2651">
      <w:pPr>
        <w:pStyle w:val="ListParagraph"/>
        <w:ind w:left="333"/>
        <w:rPr>
          <w:rFonts w:ascii="Times New Roman" w:hAnsi="Times New Roman"/>
          <w:b/>
          <w:sz w:val="20"/>
          <w:szCs w:val="20"/>
          <w:highlight w:val="yellow"/>
        </w:rPr>
      </w:pPr>
    </w:p>
    <w:p w14:paraId="044CF0CD" w14:textId="77777777" w:rsidR="00130B24" w:rsidRDefault="00C71035" w:rsidP="00130B24">
      <w:pPr>
        <w:pStyle w:val="ListParagraph"/>
        <w:numPr>
          <w:ilvl w:val="0"/>
          <w:numId w:val="27"/>
        </w:numPr>
        <w:spacing w:after="100"/>
        <w:ind w:left="692" w:hanging="357"/>
        <w:contextualSpacing w:val="0"/>
        <w:jc w:val="both"/>
        <w:rPr>
          <w:rFonts w:ascii="Times New Roman" w:hAnsi="Times New Roman"/>
          <w:b/>
          <w:bCs/>
          <w:i/>
          <w:iCs/>
          <w:color w:val="FF0000"/>
          <w:sz w:val="20"/>
          <w:szCs w:val="20"/>
        </w:rPr>
      </w:pPr>
      <w:r w:rsidRPr="006D2651">
        <w:rPr>
          <w:rFonts w:ascii="Times New Roman" w:hAnsi="Times New Roman"/>
          <w:sz w:val="20"/>
          <w:szCs w:val="20"/>
        </w:rPr>
        <w:t>Tariff for the Petroleum and petroleum products</w:t>
      </w:r>
      <w:r w:rsidRPr="006D2651">
        <w:rPr>
          <w:rFonts w:ascii="Times New Roman" w:hAnsi="Times New Roman"/>
          <w:b/>
          <w:bCs/>
          <w:sz w:val="20"/>
          <w:szCs w:val="20"/>
        </w:rPr>
        <w:t xml:space="preserve"> </w:t>
      </w:r>
      <w:r w:rsidRPr="006D2651">
        <w:rPr>
          <w:rFonts w:ascii="Times New Roman" w:hAnsi="Times New Roman"/>
          <w:sz w:val="20"/>
          <w:szCs w:val="20"/>
        </w:rPr>
        <w:t xml:space="preserve">pipeline as specified under sub-regulation (1), (2), (3) </w:t>
      </w:r>
      <w:r w:rsidRPr="006D2651">
        <w:rPr>
          <w:rFonts w:ascii="Times New Roman" w:hAnsi="Times New Roman"/>
          <w:b/>
          <w:bCs/>
          <w:sz w:val="20"/>
          <w:szCs w:val="20"/>
        </w:rPr>
        <w:t>or</w:t>
      </w:r>
      <w:r w:rsidRPr="006D2651">
        <w:rPr>
          <w:rFonts w:ascii="Times New Roman" w:hAnsi="Times New Roman"/>
          <w:sz w:val="20"/>
          <w:szCs w:val="20"/>
        </w:rPr>
        <w:t xml:space="preserve"> (4) of regulation 3 which has been commissioned before the notification of the Petroleum and Natural Gas Regulatory Board (Determination of Petroleum and Petroleum Products Pipeline Transportation Tariff) Regulations, 2010 shall be as per procedure at Schedule ‘A’ of regulation 5 of these regulations: </w:t>
      </w:r>
    </w:p>
    <w:p w14:paraId="58510116" w14:textId="77777777" w:rsidR="00C34994" w:rsidRDefault="00C71035" w:rsidP="00130B24">
      <w:pPr>
        <w:pStyle w:val="ListParagraph"/>
        <w:spacing w:after="100"/>
        <w:ind w:left="692" w:right="-138"/>
        <w:contextualSpacing w:val="0"/>
        <w:jc w:val="both"/>
        <w:rPr>
          <w:rFonts w:ascii="Times New Roman" w:hAnsi="Times New Roman"/>
          <w:sz w:val="20"/>
          <w:szCs w:val="20"/>
        </w:rPr>
      </w:pPr>
      <w:r w:rsidRPr="00130B24">
        <w:rPr>
          <w:rFonts w:ascii="Times New Roman" w:hAnsi="Times New Roman"/>
          <w:sz w:val="20"/>
          <w:szCs w:val="20"/>
        </w:rPr>
        <w:lastRenderedPageBreak/>
        <w:t xml:space="preserve">Provided that, if an entity is undertaking/ has already undertaken substantial capex infusion by the way of capacity augmentation, replacement, extension or expansion of the Petroleum and petroleum products pipeline, it may apply to the Board for change of applicable tariff calculation methodology from Schedule A to Schedule </w:t>
      </w:r>
    </w:p>
    <w:p w14:paraId="5EB0D51B" w14:textId="77777777" w:rsidR="00C34994" w:rsidRDefault="00C34994" w:rsidP="00130B24">
      <w:pPr>
        <w:pStyle w:val="ListParagraph"/>
        <w:spacing w:after="100"/>
        <w:ind w:left="692" w:right="-138"/>
        <w:contextualSpacing w:val="0"/>
        <w:jc w:val="both"/>
        <w:rPr>
          <w:rFonts w:ascii="Times New Roman" w:hAnsi="Times New Roman"/>
          <w:sz w:val="20"/>
          <w:szCs w:val="20"/>
        </w:rPr>
      </w:pPr>
    </w:p>
    <w:p w14:paraId="2C2D8CD1" w14:textId="77777777" w:rsidR="00C34994" w:rsidRDefault="00C34994" w:rsidP="00130B24">
      <w:pPr>
        <w:pStyle w:val="ListParagraph"/>
        <w:spacing w:after="100"/>
        <w:ind w:left="692" w:right="-138"/>
        <w:contextualSpacing w:val="0"/>
        <w:jc w:val="both"/>
        <w:rPr>
          <w:rFonts w:ascii="Times New Roman" w:hAnsi="Times New Roman"/>
          <w:sz w:val="20"/>
          <w:szCs w:val="20"/>
        </w:rPr>
      </w:pPr>
    </w:p>
    <w:p w14:paraId="7E9D6C78" w14:textId="6022A555" w:rsidR="00C71035" w:rsidRDefault="00C71035" w:rsidP="00130B24">
      <w:pPr>
        <w:pStyle w:val="ListParagraph"/>
        <w:spacing w:after="100"/>
        <w:ind w:left="692" w:right="-138"/>
        <w:contextualSpacing w:val="0"/>
        <w:jc w:val="both"/>
        <w:rPr>
          <w:rFonts w:ascii="Times New Roman" w:hAnsi="Times New Roman"/>
          <w:sz w:val="20"/>
          <w:szCs w:val="20"/>
        </w:rPr>
      </w:pPr>
      <w:r w:rsidRPr="00130B24">
        <w:rPr>
          <w:rFonts w:ascii="Times New Roman" w:hAnsi="Times New Roman"/>
          <w:sz w:val="20"/>
          <w:szCs w:val="20"/>
        </w:rPr>
        <w:t>B along with the complete details and justifications and the Board may approve after following the public consultation process as laid down in clause (9) of Schedule B</w:t>
      </w:r>
      <w:r w:rsidRPr="00130B24">
        <w:rPr>
          <w:rFonts w:ascii="Times New Roman" w:hAnsi="Times New Roman"/>
          <w:i/>
          <w:iCs/>
          <w:sz w:val="20"/>
          <w:szCs w:val="20"/>
        </w:rPr>
        <w:t xml:space="preserve">.  </w:t>
      </w:r>
      <w:r w:rsidR="00E65613" w:rsidRPr="00130B24">
        <w:rPr>
          <w:rFonts w:ascii="Times New Roman" w:hAnsi="Times New Roman"/>
          <w:sz w:val="20"/>
          <w:szCs w:val="20"/>
        </w:rPr>
        <w:t xml:space="preserve">Once opted for change of tariff calculation methodology from Schedule A to Schedule B by the entity and approved by the Board, entity </w:t>
      </w:r>
      <w:r w:rsidR="003A7820" w:rsidRPr="00130B24">
        <w:rPr>
          <w:rFonts w:ascii="Times New Roman" w:hAnsi="Times New Roman"/>
          <w:sz w:val="20"/>
          <w:szCs w:val="20"/>
        </w:rPr>
        <w:t xml:space="preserve">shall </w:t>
      </w:r>
      <w:r w:rsidR="00E65613" w:rsidRPr="00130B24">
        <w:rPr>
          <w:rFonts w:ascii="Times New Roman" w:hAnsi="Times New Roman"/>
          <w:sz w:val="20"/>
          <w:szCs w:val="20"/>
        </w:rPr>
        <w:t>not be entitled to again opt for change of tariff calculation methodology from Schedule B to Schedule A.</w:t>
      </w:r>
    </w:p>
    <w:p w14:paraId="3F8ECAC0" w14:textId="77777777" w:rsidR="00130B24" w:rsidRPr="00C34994" w:rsidRDefault="00130B24" w:rsidP="00130B24">
      <w:pPr>
        <w:pStyle w:val="ListParagraph"/>
        <w:spacing w:after="100"/>
        <w:ind w:left="692" w:right="-138"/>
        <w:contextualSpacing w:val="0"/>
        <w:jc w:val="both"/>
        <w:rPr>
          <w:rFonts w:ascii="Times New Roman" w:hAnsi="Times New Roman"/>
          <w:b/>
          <w:bCs/>
          <w:i/>
          <w:iCs/>
          <w:color w:val="FF0000"/>
          <w:sz w:val="2"/>
          <w:szCs w:val="2"/>
        </w:rPr>
      </w:pPr>
    </w:p>
    <w:p w14:paraId="785737A5" w14:textId="77777777" w:rsidR="00C71035" w:rsidRPr="006D2651" w:rsidRDefault="00C71035" w:rsidP="006D2651">
      <w:pPr>
        <w:pStyle w:val="ListParagraph"/>
        <w:numPr>
          <w:ilvl w:val="0"/>
          <w:numId w:val="27"/>
        </w:numPr>
        <w:spacing w:after="100"/>
        <w:contextualSpacing w:val="0"/>
        <w:jc w:val="both"/>
        <w:rPr>
          <w:rFonts w:ascii="Times New Roman" w:hAnsi="Times New Roman"/>
          <w:sz w:val="20"/>
          <w:szCs w:val="20"/>
        </w:rPr>
      </w:pPr>
      <w:r w:rsidRPr="006D2651">
        <w:rPr>
          <w:rFonts w:ascii="Times New Roman" w:hAnsi="Times New Roman"/>
          <w:sz w:val="20"/>
          <w:szCs w:val="20"/>
        </w:rPr>
        <w:t>Tariff for the Petroleum and petroleum products</w:t>
      </w:r>
      <w:r w:rsidRPr="006D2651">
        <w:rPr>
          <w:rFonts w:ascii="Times New Roman" w:hAnsi="Times New Roman"/>
          <w:b/>
          <w:bCs/>
          <w:sz w:val="20"/>
          <w:szCs w:val="20"/>
        </w:rPr>
        <w:t xml:space="preserve"> </w:t>
      </w:r>
      <w:r w:rsidRPr="006D2651">
        <w:rPr>
          <w:rFonts w:ascii="Times New Roman" w:hAnsi="Times New Roman"/>
          <w:sz w:val="20"/>
          <w:szCs w:val="20"/>
        </w:rPr>
        <w:t xml:space="preserve">pipeline as specified under sub-regulation (1), (2), (3), </w:t>
      </w:r>
      <w:r w:rsidRPr="006D2651">
        <w:rPr>
          <w:rFonts w:ascii="Times New Roman" w:hAnsi="Times New Roman"/>
          <w:b/>
          <w:bCs/>
          <w:sz w:val="20"/>
          <w:szCs w:val="20"/>
        </w:rPr>
        <w:t>or</w:t>
      </w:r>
      <w:r w:rsidRPr="006D2651">
        <w:rPr>
          <w:rFonts w:ascii="Times New Roman" w:hAnsi="Times New Roman"/>
          <w:sz w:val="20"/>
          <w:szCs w:val="20"/>
        </w:rPr>
        <w:t xml:space="preserve"> (4) of regulation 3 which has been commissioned after the notification of the Petroleum and Natural Gas Regulatory Board (Determination of Petroleum and Petroleum Products Pipeline Transportation Tariff) Regulations, 2010 shall be as per procedure at Schedule ‘B’ of regulation 5 of these regulations.</w:t>
      </w:r>
    </w:p>
    <w:p w14:paraId="44FE9F1D" w14:textId="77777777" w:rsidR="00C71035" w:rsidRPr="006D2651" w:rsidRDefault="00C71035" w:rsidP="006D2651">
      <w:pPr>
        <w:pStyle w:val="ListParagraph"/>
        <w:numPr>
          <w:ilvl w:val="0"/>
          <w:numId w:val="27"/>
        </w:numPr>
        <w:spacing w:after="100"/>
        <w:ind w:left="686" w:hanging="357"/>
        <w:contextualSpacing w:val="0"/>
        <w:jc w:val="both"/>
        <w:rPr>
          <w:rFonts w:ascii="Times New Roman" w:hAnsi="Times New Roman"/>
          <w:sz w:val="20"/>
          <w:szCs w:val="20"/>
        </w:rPr>
      </w:pPr>
      <w:r w:rsidRPr="006D2651">
        <w:rPr>
          <w:rFonts w:ascii="Times New Roman" w:hAnsi="Times New Roman"/>
          <w:sz w:val="20"/>
          <w:szCs w:val="20"/>
        </w:rPr>
        <w:t>Tariff for the Petroleum and petroleum products pipeline as specified under sub-regulation (5) of regulation 3 which has completed pipeline operation of 10 years from the date of commissioning, from 11</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onwards shall be determined as per the procedure mentioned in Schedule ‘B’ of regulation 5 of these regulations. </w:t>
      </w:r>
    </w:p>
    <w:p w14:paraId="772B0435" w14:textId="77777777" w:rsidR="00C71035" w:rsidRPr="006D2651" w:rsidRDefault="00C71035" w:rsidP="006D2651">
      <w:pPr>
        <w:pStyle w:val="ListParagraph"/>
        <w:spacing w:after="100"/>
        <w:ind w:left="329"/>
        <w:contextualSpacing w:val="0"/>
        <w:jc w:val="both"/>
        <w:rPr>
          <w:rFonts w:ascii="Times New Roman" w:hAnsi="Times New Roman"/>
          <w:b/>
          <w:bCs/>
          <w:i/>
          <w:iCs/>
          <w:color w:val="FF0000"/>
          <w:sz w:val="20"/>
          <w:szCs w:val="20"/>
        </w:rPr>
      </w:pPr>
      <w:r w:rsidRPr="006D2651">
        <w:rPr>
          <w:rFonts w:ascii="Times New Roman" w:hAnsi="Times New Roman"/>
          <w:bCs/>
          <w:sz w:val="20"/>
          <w:szCs w:val="20"/>
        </w:rPr>
        <w:t xml:space="preserve">Note: </w:t>
      </w:r>
      <w:r w:rsidRPr="006D2651">
        <w:rPr>
          <w:rFonts w:ascii="Times New Roman" w:hAnsi="Times New Roman"/>
          <w:sz w:val="20"/>
          <w:szCs w:val="20"/>
        </w:rPr>
        <w:t>The petroleum and petroleum products pipeline transportation tariff shall be applicable from the date of commissioning of the pipeline or the date of authorization/ acceptance of authorization of the pipeline by the Board or on the 1</w:t>
      </w:r>
      <w:r w:rsidRPr="006D2651">
        <w:rPr>
          <w:rFonts w:ascii="Times New Roman" w:hAnsi="Times New Roman"/>
          <w:sz w:val="20"/>
          <w:szCs w:val="20"/>
          <w:vertAlign w:val="superscript"/>
        </w:rPr>
        <w:t>st</w:t>
      </w:r>
      <w:r w:rsidRPr="006D2651">
        <w:rPr>
          <w:rFonts w:ascii="Times New Roman" w:hAnsi="Times New Roman"/>
          <w:sz w:val="20"/>
          <w:szCs w:val="20"/>
        </w:rPr>
        <w:t xml:space="preserve"> day of the following month from the date of publication of these regulations in the Official Gazette, whichever is later.</w:t>
      </w:r>
    </w:p>
    <w:p w14:paraId="484D5BF1" w14:textId="77777777" w:rsidR="00C71035" w:rsidRPr="006D2651" w:rsidRDefault="00C71035" w:rsidP="006D2651">
      <w:pPr>
        <w:pStyle w:val="ListParagraph"/>
        <w:numPr>
          <w:ilvl w:val="0"/>
          <w:numId w:val="24"/>
        </w:numPr>
        <w:ind w:left="329" w:hanging="357"/>
        <w:jc w:val="both"/>
        <w:rPr>
          <w:rFonts w:ascii="Times New Roman" w:hAnsi="Times New Roman"/>
          <w:b/>
          <w:sz w:val="20"/>
          <w:szCs w:val="20"/>
        </w:rPr>
      </w:pPr>
      <w:r w:rsidRPr="006D2651">
        <w:rPr>
          <w:rFonts w:ascii="Times New Roman" w:hAnsi="Times New Roman"/>
          <w:b/>
          <w:sz w:val="20"/>
          <w:szCs w:val="20"/>
        </w:rPr>
        <w:t>Form for data submission by entity for determination of petroleum and petroleum products pipeline tariff</w:t>
      </w:r>
    </w:p>
    <w:p w14:paraId="5ACCFB99" w14:textId="77777777" w:rsidR="00C71035" w:rsidRPr="006D2651" w:rsidRDefault="00C71035" w:rsidP="006D2651">
      <w:pPr>
        <w:pStyle w:val="ListParagraph"/>
        <w:numPr>
          <w:ilvl w:val="0"/>
          <w:numId w:val="28"/>
        </w:numPr>
        <w:spacing w:before="100" w:after="100"/>
        <w:ind w:left="692" w:hanging="357"/>
        <w:contextualSpacing w:val="0"/>
        <w:jc w:val="both"/>
        <w:rPr>
          <w:rFonts w:ascii="Times New Roman" w:hAnsi="Times New Roman"/>
          <w:sz w:val="20"/>
          <w:szCs w:val="20"/>
        </w:rPr>
      </w:pPr>
      <w:r w:rsidRPr="006D2651">
        <w:rPr>
          <w:rFonts w:ascii="Times New Roman" w:hAnsi="Times New Roman"/>
          <w:sz w:val="20"/>
          <w:szCs w:val="20"/>
        </w:rPr>
        <w:t>Every entity to which sub-regulation (1) of regulation 5 applies, shall submit to the Board the details as specified in Attachment 1 of Schedule A, within sixty days from the date on which these regulations come into force.</w:t>
      </w:r>
    </w:p>
    <w:p w14:paraId="04DD0EA0" w14:textId="513EB1C5" w:rsidR="00C71035" w:rsidRPr="006D2651" w:rsidRDefault="00C71035" w:rsidP="006D2651">
      <w:pPr>
        <w:pStyle w:val="ListParagraph"/>
        <w:spacing w:before="100" w:after="100"/>
        <w:ind w:firstLine="720"/>
        <w:contextualSpacing w:val="0"/>
        <w:jc w:val="both"/>
        <w:rPr>
          <w:rFonts w:ascii="Times New Roman" w:hAnsi="Times New Roman"/>
          <w:sz w:val="20"/>
          <w:szCs w:val="20"/>
        </w:rPr>
      </w:pPr>
      <w:r w:rsidRPr="006D2651">
        <w:rPr>
          <w:rFonts w:ascii="Times New Roman" w:hAnsi="Times New Roman"/>
          <w:sz w:val="20"/>
          <w:szCs w:val="20"/>
        </w:rPr>
        <w:t>Provided that the unit petroleum and petroleum products pipeline tariff shall be fixed by the Board within two months of receipt of the relevant tariff data from the entity after which the entity shall carry out adjustments with the customers from the date on which these regulations come into force with respect to</w:t>
      </w:r>
      <w:r w:rsidR="00E65613" w:rsidRPr="006D2651">
        <w:rPr>
          <w:rFonts w:ascii="Times New Roman" w:hAnsi="Times New Roman"/>
          <w:sz w:val="20"/>
          <w:szCs w:val="20"/>
        </w:rPr>
        <w:t xml:space="preserve"> </w:t>
      </w:r>
      <w:r w:rsidRPr="006D2651">
        <w:rPr>
          <w:rFonts w:ascii="Times New Roman" w:hAnsi="Times New Roman"/>
          <w:sz w:val="20"/>
          <w:szCs w:val="20"/>
        </w:rPr>
        <w:t>the difference between the unit petroleum and petroleum products pipeline tariff that the entity had so charged.</w:t>
      </w:r>
    </w:p>
    <w:p w14:paraId="2F86D523" w14:textId="77777777" w:rsidR="00C71035" w:rsidRPr="006D2651" w:rsidRDefault="00C71035" w:rsidP="006D2651">
      <w:pPr>
        <w:pStyle w:val="ListParagraph"/>
        <w:numPr>
          <w:ilvl w:val="0"/>
          <w:numId w:val="28"/>
        </w:numPr>
        <w:spacing w:before="100" w:after="100"/>
        <w:ind w:left="692" w:hanging="357"/>
        <w:contextualSpacing w:val="0"/>
        <w:jc w:val="both"/>
        <w:rPr>
          <w:rFonts w:ascii="Times New Roman" w:hAnsi="Times New Roman"/>
          <w:sz w:val="20"/>
          <w:szCs w:val="20"/>
        </w:rPr>
      </w:pPr>
      <w:r w:rsidRPr="006D2651">
        <w:rPr>
          <w:rFonts w:ascii="Times New Roman" w:hAnsi="Times New Roman"/>
          <w:sz w:val="20"/>
          <w:szCs w:val="20"/>
        </w:rPr>
        <w:t>Every entity to which sub-regulation (2) or (3) of regulation 5 applies, shall submit to the Board such transportation rates as computed by it along with interactive spreadsheet calculation model (including formulae), the duly filled in formats and the statutory auditor’s certificate as specified in Attachment 1 of Schedule B, if, as on the day these regulations come into force, the petroleum and petroleum products pipeline:</w:t>
      </w:r>
    </w:p>
    <w:p w14:paraId="62AB5E5A" w14:textId="77777777" w:rsidR="00C71035" w:rsidRPr="006D2651" w:rsidRDefault="00C71035" w:rsidP="006D2651">
      <w:pPr>
        <w:pStyle w:val="ListParagraph"/>
        <w:numPr>
          <w:ilvl w:val="0"/>
          <w:numId w:val="29"/>
        </w:numPr>
        <w:spacing w:before="100" w:after="100"/>
        <w:contextualSpacing w:val="0"/>
        <w:jc w:val="both"/>
        <w:rPr>
          <w:rFonts w:ascii="Times New Roman" w:hAnsi="Times New Roman"/>
          <w:sz w:val="20"/>
          <w:szCs w:val="20"/>
        </w:rPr>
      </w:pPr>
      <w:r w:rsidRPr="006D2651">
        <w:rPr>
          <w:rFonts w:ascii="Times New Roman" w:hAnsi="Times New Roman"/>
          <w:sz w:val="20"/>
          <w:szCs w:val="20"/>
        </w:rPr>
        <w:t>is not in operation, then at least six months before the likely date of commissioning of the petroleum and petroleum products pipeline, or within ninety days from the date on which these regulations come into force, whichever is later; or</w:t>
      </w:r>
    </w:p>
    <w:p w14:paraId="634F9D34" w14:textId="77777777" w:rsidR="00C71035" w:rsidRPr="006D2651" w:rsidRDefault="00C71035" w:rsidP="006D2651">
      <w:pPr>
        <w:pStyle w:val="ListParagraph"/>
        <w:numPr>
          <w:ilvl w:val="0"/>
          <w:numId w:val="29"/>
        </w:numPr>
        <w:spacing w:before="100" w:after="100"/>
        <w:contextualSpacing w:val="0"/>
        <w:jc w:val="both"/>
        <w:rPr>
          <w:rFonts w:ascii="Times New Roman" w:hAnsi="Times New Roman"/>
          <w:sz w:val="20"/>
          <w:szCs w:val="20"/>
        </w:rPr>
      </w:pPr>
      <w:r w:rsidRPr="006D2651">
        <w:rPr>
          <w:rFonts w:ascii="Times New Roman" w:hAnsi="Times New Roman"/>
          <w:sz w:val="20"/>
          <w:szCs w:val="20"/>
        </w:rPr>
        <w:t xml:space="preserve">is already in operation, then, in relation to an entity referred to in – </w:t>
      </w:r>
    </w:p>
    <w:p w14:paraId="004EAD0F" w14:textId="77777777" w:rsidR="00C71035" w:rsidRPr="006D2651" w:rsidRDefault="00C71035" w:rsidP="006D2651">
      <w:pPr>
        <w:numPr>
          <w:ilvl w:val="0"/>
          <w:numId w:val="11"/>
        </w:numPr>
        <w:spacing w:before="100" w:after="100"/>
        <w:jc w:val="both"/>
        <w:rPr>
          <w:rFonts w:ascii="Times New Roman" w:hAnsi="Times New Roman"/>
          <w:sz w:val="20"/>
          <w:szCs w:val="20"/>
        </w:rPr>
      </w:pPr>
      <w:r w:rsidRPr="006D2651">
        <w:rPr>
          <w:rFonts w:ascii="Times New Roman" w:hAnsi="Times New Roman"/>
          <w:sz w:val="20"/>
          <w:szCs w:val="20"/>
        </w:rPr>
        <w:t>sub-regulation (1), (2), (3), and (4) of regulation 3 which has been commissioned after the notification of the Petroleum and Natural Gas Regulatory Board (Determination of Petroleum and Petroleum Products Pipeline Transportation Tariff) Regulations, 2010, within ninety days from the date on which these regulations come into force; or</w:t>
      </w:r>
    </w:p>
    <w:p w14:paraId="6551D1C4" w14:textId="77777777" w:rsidR="00C71035" w:rsidRPr="006D2651" w:rsidRDefault="00C71035" w:rsidP="006D2651">
      <w:pPr>
        <w:numPr>
          <w:ilvl w:val="0"/>
          <w:numId w:val="11"/>
        </w:numPr>
        <w:spacing w:before="100" w:after="100"/>
        <w:jc w:val="both"/>
        <w:rPr>
          <w:rFonts w:ascii="Times New Roman" w:hAnsi="Times New Roman"/>
          <w:sz w:val="20"/>
          <w:szCs w:val="20"/>
        </w:rPr>
      </w:pPr>
      <w:r w:rsidRPr="006D2651">
        <w:rPr>
          <w:rFonts w:ascii="Times New Roman" w:hAnsi="Times New Roman"/>
          <w:sz w:val="20"/>
          <w:szCs w:val="20"/>
        </w:rPr>
        <w:t>sub-regulation (5) of regulation 3, at least six months before the completion of 10</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of operations or within ninety days from the date on which these regulations come into force, whichever is later.</w:t>
      </w:r>
    </w:p>
    <w:p w14:paraId="0EE94AB0" w14:textId="77777777" w:rsidR="00C71035" w:rsidRPr="006D2651" w:rsidRDefault="00C71035" w:rsidP="006D2651">
      <w:pPr>
        <w:pStyle w:val="ListParagraph"/>
        <w:spacing w:before="100" w:after="100"/>
        <w:ind w:left="692"/>
        <w:contextualSpacing w:val="0"/>
        <w:jc w:val="both"/>
        <w:rPr>
          <w:rFonts w:ascii="Times New Roman" w:hAnsi="Times New Roman"/>
          <w:sz w:val="20"/>
          <w:szCs w:val="20"/>
        </w:rPr>
      </w:pPr>
      <w:r w:rsidRPr="006D2651">
        <w:rPr>
          <w:rFonts w:ascii="Times New Roman" w:hAnsi="Times New Roman"/>
          <w:sz w:val="20"/>
          <w:szCs w:val="20"/>
        </w:rPr>
        <w:t>Provided that the unit petroleum and petroleum products pipeline tariff as</w:t>
      </w:r>
      <w:r w:rsidRPr="006D2651">
        <w:rPr>
          <w:rFonts w:ascii="Times New Roman" w:hAnsi="Times New Roman"/>
          <w:sz w:val="20"/>
          <w:szCs w:val="20"/>
        </w:rPr>
        <w:br/>
        <w:t xml:space="preserve">applicable to entity listed at clause 6(2)(ii)(a) above shall be fixed by the Board within six months of receipt of the relevant tariff data from the entity after which the entity shall carry out adjustments with effect from </w:t>
      </w:r>
      <w:r w:rsidRPr="006D2651">
        <w:rPr>
          <w:rFonts w:ascii="Times New Roman" w:hAnsi="Times New Roman"/>
          <w:sz w:val="20"/>
          <w:szCs w:val="20"/>
        </w:rPr>
        <w:lastRenderedPageBreak/>
        <w:t>the date on which these regulations come into force with the customers for the difference between the unit petroleum and petroleum products pipeline tariff that the entity had so charged.</w:t>
      </w:r>
    </w:p>
    <w:p w14:paraId="1666B5A6" w14:textId="77777777" w:rsidR="00C34994" w:rsidRDefault="00C71035" w:rsidP="006D2651">
      <w:pPr>
        <w:pStyle w:val="ListParagraph"/>
        <w:spacing w:before="100" w:after="100"/>
        <w:ind w:left="692"/>
        <w:contextualSpacing w:val="0"/>
        <w:jc w:val="both"/>
        <w:rPr>
          <w:rFonts w:ascii="Times New Roman" w:hAnsi="Times New Roman"/>
          <w:sz w:val="20"/>
          <w:szCs w:val="20"/>
        </w:rPr>
      </w:pPr>
      <w:r w:rsidRPr="006D2651">
        <w:rPr>
          <w:rFonts w:ascii="Times New Roman" w:hAnsi="Times New Roman"/>
          <w:sz w:val="20"/>
          <w:szCs w:val="20"/>
        </w:rPr>
        <w:t>Provided further that the unit petroleum and petroleum products pipeline tariff as</w:t>
      </w:r>
      <w:r w:rsidRPr="006D2651">
        <w:rPr>
          <w:rFonts w:ascii="Times New Roman" w:hAnsi="Times New Roman"/>
          <w:sz w:val="20"/>
          <w:szCs w:val="20"/>
        </w:rPr>
        <w:br/>
        <w:t xml:space="preserve">applicable to entity listed at clause 6(2)(ii)(b) above shall be fixed by the Board within six months of receipt </w:t>
      </w:r>
    </w:p>
    <w:p w14:paraId="2FDC93BB" w14:textId="77777777" w:rsidR="00C34994" w:rsidRDefault="00C34994" w:rsidP="006D2651">
      <w:pPr>
        <w:pStyle w:val="ListParagraph"/>
        <w:spacing w:before="100" w:after="100"/>
        <w:ind w:left="692"/>
        <w:contextualSpacing w:val="0"/>
        <w:jc w:val="both"/>
        <w:rPr>
          <w:rFonts w:ascii="Times New Roman" w:hAnsi="Times New Roman"/>
          <w:sz w:val="20"/>
          <w:szCs w:val="20"/>
        </w:rPr>
      </w:pPr>
    </w:p>
    <w:p w14:paraId="6E03108F" w14:textId="77777777" w:rsidR="00C34994" w:rsidRDefault="00C34994" w:rsidP="006D2651">
      <w:pPr>
        <w:pStyle w:val="ListParagraph"/>
        <w:spacing w:before="100" w:after="100"/>
        <w:ind w:left="692"/>
        <w:contextualSpacing w:val="0"/>
        <w:jc w:val="both"/>
        <w:rPr>
          <w:rFonts w:ascii="Times New Roman" w:hAnsi="Times New Roman"/>
          <w:sz w:val="20"/>
          <w:szCs w:val="20"/>
        </w:rPr>
      </w:pPr>
    </w:p>
    <w:p w14:paraId="26E2F4D1" w14:textId="0D6EC833" w:rsidR="00C71035" w:rsidRPr="006D2651" w:rsidRDefault="00C71035" w:rsidP="006D2651">
      <w:pPr>
        <w:pStyle w:val="ListParagraph"/>
        <w:spacing w:before="100" w:after="100"/>
        <w:ind w:left="692"/>
        <w:contextualSpacing w:val="0"/>
        <w:jc w:val="both"/>
        <w:rPr>
          <w:rFonts w:ascii="Times New Roman" w:hAnsi="Times New Roman"/>
          <w:sz w:val="20"/>
          <w:szCs w:val="20"/>
        </w:rPr>
      </w:pPr>
      <w:r w:rsidRPr="006D2651">
        <w:rPr>
          <w:rFonts w:ascii="Times New Roman" w:hAnsi="Times New Roman"/>
          <w:sz w:val="20"/>
          <w:szCs w:val="20"/>
        </w:rPr>
        <w:t>of the relevant tariff data from the entity after which the entity shall carry out adjustments with effect from the commencement of 11</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of operations with the customers for the difference between the unit petroleum and petroleum products pipeline tariff that the entity had so charged.</w:t>
      </w:r>
    </w:p>
    <w:p w14:paraId="6BD6B636" w14:textId="77777777" w:rsidR="00C71035" w:rsidRPr="006D2651" w:rsidRDefault="00C71035" w:rsidP="006D2651">
      <w:pPr>
        <w:pStyle w:val="ListParagraph"/>
        <w:numPr>
          <w:ilvl w:val="0"/>
          <w:numId w:val="24"/>
        </w:numPr>
        <w:ind w:left="329" w:hanging="357"/>
        <w:jc w:val="both"/>
        <w:rPr>
          <w:rFonts w:ascii="Times New Roman" w:hAnsi="Times New Roman"/>
          <w:b/>
          <w:sz w:val="20"/>
          <w:szCs w:val="20"/>
        </w:rPr>
      </w:pPr>
      <w:r w:rsidRPr="006D2651">
        <w:rPr>
          <w:rFonts w:ascii="Times New Roman" w:hAnsi="Times New Roman"/>
          <w:b/>
          <w:sz w:val="20"/>
          <w:szCs w:val="20"/>
        </w:rPr>
        <w:t>Miscellaneous</w:t>
      </w:r>
    </w:p>
    <w:p w14:paraId="4FAAC6E7" w14:textId="039F5D5B" w:rsidR="00130B24" w:rsidRPr="006D2651" w:rsidRDefault="00C71035" w:rsidP="006D2651">
      <w:pPr>
        <w:ind w:left="333"/>
        <w:jc w:val="both"/>
        <w:rPr>
          <w:rFonts w:ascii="Times New Roman" w:hAnsi="Times New Roman"/>
          <w:sz w:val="20"/>
          <w:szCs w:val="20"/>
        </w:rPr>
      </w:pPr>
      <w:r w:rsidRPr="006D2651">
        <w:rPr>
          <w:rFonts w:ascii="Times New Roman" w:hAnsi="Times New Roman"/>
          <w:sz w:val="20"/>
          <w:szCs w:val="20"/>
        </w:rPr>
        <w:t>If any question arises as to the interpretation of these regulations, the same shall be decided by the Board.</w:t>
      </w:r>
    </w:p>
    <w:p w14:paraId="0C525520" w14:textId="77777777" w:rsidR="00C71035" w:rsidRPr="006D2651" w:rsidRDefault="00C71035" w:rsidP="006D2651">
      <w:pPr>
        <w:pStyle w:val="ListParagraph"/>
        <w:numPr>
          <w:ilvl w:val="0"/>
          <w:numId w:val="24"/>
        </w:numPr>
        <w:ind w:left="329" w:hanging="357"/>
        <w:jc w:val="both"/>
        <w:rPr>
          <w:rFonts w:ascii="Times New Roman" w:hAnsi="Times New Roman"/>
          <w:b/>
          <w:sz w:val="20"/>
          <w:szCs w:val="20"/>
        </w:rPr>
      </w:pPr>
      <w:r w:rsidRPr="006D2651">
        <w:rPr>
          <w:rFonts w:ascii="Times New Roman" w:hAnsi="Times New Roman"/>
          <w:b/>
          <w:sz w:val="20"/>
          <w:szCs w:val="20"/>
        </w:rPr>
        <w:t>Repeal &amp; Saving</w:t>
      </w:r>
    </w:p>
    <w:p w14:paraId="60E0A286" w14:textId="2B99F6E8" w:rsidR="00A572F8" w:rsidRPr="006D2651" w:rsidRDefault="00C71035" w:rsidP="006D2651">
      <w:pPr>
        <w:ind w:left="333"/>
        <w:jc w:val="both"/>
        <w:rPr>
          <w:rFonts w:ascii="Times New Roman" w:hAnsi="Times New Roman"/>
          <w:sz w:val="20"/>
          <w:szCs w:val="20"/>
        </w:rPr>
      </w:pPr>
      <w:r w:rsidRPr="006D2651">
        <w:rPr>
          <w:rFonts w:ascii="Times New Roman" w:hAnsi="Times New Roman"/>
          <w:sz w:val="20"/>
          <w:szCs w:val="20"/>
        </w:rPr>
        <w:t>Petroleum and Natural Gas Regulatory Board (Determination of Petroleum and Petroleum Products Pipeline Transportation Tariff) Regulations, 2010 is hereby repealed, except as respective things done or omitted to be done under so repealed regulations.</w:t>
      </w:r>
    </w:p>
    <w:p w14:paraId="09773DBC" w14:textId="77777777" w:rsidR="00E96DDC" w:rsidRPr="006D2651" w:rsidRDefault="00E96DDC" w:rsidP="006D2651">
      <w:pPr>
        <w:pStyle w:val="ListParagraph"/>
        <w:spacing w:before="120" w:after="120"/>
        <w:contextualSpacing w:val="0"/>
        <w:jc w:val="center"/>
        <w:rPr>
          <w:rFonts w:ascii="Times New Roman" w:hAnsi="Times New Roman"/>
          <w:b/>
          <w:bCs/>
          <w:sz w:val="20"/>
          <w:szCs w:val="20"/>
        </w:rPr>
      </w:pPr>
      <w:r w:rsidRPr="006D2651">
        <w:rPr>
          <w:rFonts w:ascii="Times New Roman" w:hAnsi="Times New Roman"/>
          <w:b/>
          <w:bCs/>
          <w:sz w:val="20"/>
          <w:szCs w:val="20"/>
        </w:rPr>
        <w:t>Schedule A</w:t>
      </w:r>
    </w:p>
    <w:p w14:paraId="3E8818CF" w14:textId="77777777" w:rsidR="00E96DDC" w:rsidRPr="006D2651" w:rsidRDefault="00E96DDC" w:rsidP="006D2651">
      <w:pPr>
        <w:pStyle w:val="ListParagraph"/>
        <w:spacing w:before="120" w:after="120"/>
        <w:contextualSpacing w:val="0"/>
        <w:jc w:val="center"/>
        <w:rPr>
          <w:rFonts w:ascii="Times New Roman" w:hAnsi="Times New Roman"/>
          <w:b/>
          <w:bCs/>
          <w:sz w:val="20"/>
          <w:szCs w:val="20"/>
        </w:rPr>
      </w:pPr>
      <w:r w:rsidRPr="006D2651">
        <w:rPr>
          <w:rFonts w:ascii="Times New Roman" w:hAnsi="Times New Roman"/>
          <w:b/>
          <w:bCs/>
          <w:sz w:val="20"/>
          <w:szCs w:val="20"/>
        </w:rPr>
        <w:t>[refer regulation 4 and regulation 5]</w:t>
      </w:r>
    </w:p>
    <w:p w14:paraId="062C89EE" w14:textId="77777777" w:rsidR="00E96DDC" w:rsidRPr="006D2651" w:rsidRDefault="00E96DDC" w:rsidP="006D2651">
      <w:pPr>
        <w:pStyle w:val="ListParagraph"/>
        <w:pBdr>
          <w:bottom w:val="single" w:sz="12" w:space="1" w:color="auto"/>
        </w:pBdr>
        <w:spacing w:before="120" w:after="120"/>
        <w:contextualSpacing w:val="0"/>
        <w:jc w:val="center"/>
        <w:rPr>
          <w:rFonts w:ascii="Times New Roman" w:hAnsi="Times New Roman"/>
          <w:b/>
          <w:bCs/>
          <w:sz w:val="20"/>
          <w:szCs w:val="20"/>
        </w:rPr>
      </w:pPr>
      <w:r w:rsidRPr="006D2651">
        <w:rPr>
          <w:rFonts w:ascii="Times New Roman" w:hAnsi="Times New Roman"/>
          <w:b/>
          <w:bCs/>
          <w:sz w:val="20"/>
          <w:szCs w:val="20"/>
        </w:rPr>
        <w:t>Procedure for determination of petroleum and petroleum products pipeline tariff through benchmarking</w:t>
      </w:r>
    </w:p>
    <w:p w14:paraId="75B422EF" w14:textId="77777777" w:rsidR="00E96DDC" w:rsidRPr="006D2651" w:rsidRDefault="00E96DDC" w:rsidP="006D2651">
      <w:pPr>
        <w:ind w:left="720"/>
        <w:jc w:val="both"/>
        <w:rPr>
          <w:rFonts w:ascii="Times New Roman" w:hAnsi="Times New Roman"/>
          <w:sz w:val="20"/>
          <w:szCs w:val="20"/>
        </w:rPr>
      </w:pPr>
      <w:r w:rsidRPr="006D2651">
        <w:rPr>
          <w:rFonts w:ascii="Times New Roman" w:hAnsi="Times New Roman"/>
          <w:sz w:val="20"/>
          <w:szCs w:val="20"/>
        </w:rPr>
        <w:t>The petroleum and petroleum products pipeline transportation tariff (</w:t>
      </w:r>
      <w:r w:rsidRPr="006D2651">
        <w:rPr>
          <w:rFonts w:ascii="Times New Roman" w:eastAsia="Times New Roman" w:hAnsi="Times New Roman"/>
          <w:color w:val="000000"/>
          <w:sz w:val="20"/>
          <w:szCs w:val="20"/>
          <w:lang w:eastAsia="en-IN"/>
        </w:rPr>
        <w:t xml:space="preserve">Class 180A–petroleum products other than SKO/LPG and Class 165–SKO/LPG, etc.) </w:t>
      </w:r>
      <w:r w:rsidRPr="006D2651">
        <w:rPr>
          <w:rFonts w:ascii="Times New Roman" w:hAnsi="Times New Roman"/>
          <w:sz w:val="20"/>
          <w:szCs w:val="20"/>
        </w:rPr>
        <w:t>shall be determined basis the railway’s goods tariff table of railway rate circular No. 19 of 2018 dated 31.10.2018 (effective from 1.11.2018).</w:t>
      </w:r>
    </w:p>
    <w:p w14:paraId="1AAD22DD" w14:textId="77777777" w:rsidR="00E96DDC" w:rsidRPr="006D2651" w:rsidRDefault="00E96DDC" w:rsidP="006D2651">
      <w:pPr>
        <w:ind w:left="720"/>
        <w:jc w:val="both"/>
        <w:rPr>
          <w:rFonts w:ascii="Times New Roman" w:hAnsi="Times New Roman"/>
          <w:sz w:val="20"/>
          <w:szCs w:val="20"/>
        </w:rPr>
      </w:pPr>
      <w:r w:rsidRPr="006D2651">
        <w:rPr>
          <w:rFonts w:ascii="Times New Roman" w:hAnsi="Times New Roman"/>
          <w:sz w:val="20"/>
          <w:szCs w:val="20"/>
        </w:rPr>
        <w:t>The base tariff for petroleum and petroleum products pipeline shall be benchmarked at a level of seventy-five per cent of the tariffs as per railway’s goods tariff table on a train load basis for equivalent rail distance along the petroleum and petroleum products pipeline route except LPG where it will be benchmarked at a level of one hundred per cent. Illustration of tariff calculation on above basis is given as Attachment 3 to Schedule A. The above base tariff shall remain fixed in accordance with the railway rate circular No. 19 of 2018 dated 31.10.2018 (effective from 1.11.2018) and shall not be changed due to any future revisions in the railway rate circular for the purpose of determination of petroleum and petroleum products pipeline tariff</w:t>
      </w:r>
    </w:p>
    <w:p w14:paraId="7F1F2B75" w14:textId="3C95663A" w:rsidR="00E96DDC" w:rsidRPr="006D2651" w:rsidRDefault="00E96DDC" w:rsidP="006D2651">
      <w:pPr>
        <w:ind w:left="720"/>
        <w:jc w:val="both"/>
        <w:rPr>
          <w:rFonts w:ascii="Times New Roman" w:hAnsi="Times New Roman"/>
          <w:sz w:val="20"/>
          <w:szCs w:val="20"/>
        </w:rPr>
      </w:pPr>
      <w:r w:rsidRPr="006D2651">
        <w:rPr>
          <w:rFonts w:ascii="Times New Roman" w:hAnsi="Times New Roman"/>
          <w:sz w:val="20"/>
          <w:szCs w:val="20"/>
        </w:rPr>
        <w:t xml:space="preserve">One-time escalation of 17% </w:t>
      </w:r>
      <w:r w:rsidR="005F3272" w:rsidRPr="006D2651">
        <w:rPr>
          <w:rFonts w:ascii="Times New Roman" w:hAnsi="Times New Roman"/>
          <w:sz w:val="20"/>
          <w:szCs w:val="20"/>
        </w:rPr>
        <w:t xml:space="preserve">(@3.40% from 2019-20 till 2023-24, based on 10 year WPI CAGR from 2013-14 to 2022-23) </w:t>
      </w:r>
      <w:r w:rsidRPr="006D2651">
        <w:rPr>
          <w:rFonts w:ascii="Times New Roman" w:hAnsi="Times New Roman"/>
          <w:sz w:val="20"/>
          <w:szCs w:val="20"/>
        </w:rPr>
        <w:t>over the Railway’s goods tariff table of above railway rate circular No.19 of 2018 shall be considered on the base tariff, however, the same shall be applied prospectively from the date of these regulations come into force till the end of financial year 2024-25.</w:t>
      </w:r>
    </w:p>
    <w:p w14:paraId="69D32A07" w14:textId="77777777" w:rsidR="00E96DDC" w:rsidRPr="006D2651" w:rsidRDefault="00E96DDC" w:rsidP="006D2651">
      <w:pPr>
        <w:ind w:left="720"/>
        <w:jc w:val="both"/>
        <w:rPr>
          <w:rFonts w:ascii="Times New Roman" w:hAnsi="Times New Roman"/>
          <w:sz w:val="20"/>
          <w:szCs w:val="20"/>
        </w:rPr>
      </w:pPr>
      <w:r w:rsidRPr="006D2651">
        <w:rPr>
          <w:rFonts w:ascii="Times New Roman" w:hAnsi="Times New Roman"/>
          <w:sz w:val="20"/>
          <w:szCs w:val="20"/>
        </w:rPr>
        <w:t xml:space="preserve">From financial year 2025-26 onwards, annual escalation shall be considered, based on the “Wholesale price Index (WPI) Data (2011-12 = 100) for “All Group / Commodity”, as published by the Office of Economic Adviser, Government of India, Ministry of Commerce and Industry, Department of Industrial Policy and Promotion (DIPP). </w:t>
      </w:r>
    </w:p>
    <w:p w14:paraId="70358C04" w14:textId="3090710A" w:rsidR="003D68DD" w:rsidRPr="006D2651" w:rsidRDefault="00E96DDC" w:rsidP="006D2651">
      <w:pPr>
        <w:ind w:left="720"/>
        <w:jc w:val="both"/>
        <w:rPr>
          <w:rFonts w:ascii="Times New Roman" w:hAnsi="Times New Roman"/>
          <w:sz w:val="20"/>
          <w:szCs w:val="20"/>
        </w:rPr>
      </w:pPr>
      <w:r w:rsidRPr="006D2651">
        <w:rPr>
          <w:rFonts w:ascii="Times New Roman" w:hAnsi="Times New Roman"/>
          <w:sz w:val="20"/>
          <w:szCs w:val="20"/>
        </w:rPr>
        <w:t xml:space="preserve">The CAGR of WPI from year FY 2013-14 to FY 2022-23 is 3.40 per cent. From financial year 2025-26 </w:t>
      </w:r>
      <w:r w:rsidR="007F20FA" w:rsidRPr="006D2651">
        <w:rPr>
          <w:rFonts w:ascii="Times New Roman" w:hAnsi="Times New Roman"/>
          <w:sz w:val="20"/>
          <w:szCs w:val="20"/>
        </w:rPr>
        <w:t>i.e. from 1.4.20</w:t>
      </w:r>
      <w:r w:rsidR="001D6EB4" w:rsidRPr="006D2651">
        <w:rPr>
          <w:rFonts w:ascii="Times New Roman" w:hAnsi="Times New Roman"/>
          <w:sz w:val="20"/>
          <w:szCs w:val="20"/>
        </w:rPr>
        <w:t>2</w:t>
      </w:r>
      <w:r w:rsidR="007F20FA" w:rsidRPr="006D2651">
        <w:rPr>
          <w:rFonts w:ascii="Times New Roman" w:hAnsi="Times New Roman"/>
          <w:sz w:val="20"/>
          <w:szCs w:val="20"/>
        </w:rPr>
        <w:t xml:space="preserve">5 </w:t>
      </w:r>
      <w:r w:rsidRPr="006D2651">
        <w:rPr>
          <w:rFonts w:ascii="Times New Roman" w:hAnsi="Times New Roman"/>
          <w:sz w:val="20"/>
          <w:szCs w:val="20"/>
        </w:rPr>
        <w:t>onwards, an annual escalation factor of 3.40 per cent per annum shall be considered year on year basis.</w:t>
      </w:r>
      <w:r w:rsidR="005F3272" w:rsidRPr="006D2651">
        <w:rPr>
          <w:rFonts w:ascii="Times New Roman" w:hAnsi="Times New Roman"/>
          <w:sz w:val="20"/>
          <w:szCs w:val="20"/>
        </w:rPr>
        <w:t xml:space="preserve"> </w:t>
      </w:r>
      <w:r w:rsidRPr="006D2651">
        <w:rPr>
          <w:rFonts w:ascii="Times New Roman" w:hAnsi="Times New Roman"/>
          <w:sz w:val="20"/>
          <w:szCs w:val="20"/>
        </w:rPr>
        <w:t>The Board may consider and decide revision in tariff escalation factor in case the change in CAGR of the WPI index for the previous 10 years on floating basis with a lag of one financial year preceding the financial year for which tariff is applicable, on either side, is 0.5 per cent or more. Illustration showing calculation of change in WPI on year-to-year basis is given as Attachment 2 to Schedule A.</w:t>
      </w:r>
    </w:p>
    <w:p w14:paraId="426F3FA0" w14:textId="77777777" w:rsidR="00C34994" w:rsidRDefault="00C34994" w:rsidP="006D2651">
      <w:pPr>
        <w:jc w:val="center"/>
        <w:rPr>
          <w:rFonts w:ascii="Times New Roman" w:hAnsi="Times New Roman"/>
          <w:b/>
          <w:bCs/>
          <w:sz w:val="20"/>
          <w:szCs w:val="20"/>
        </w:rPr>
      </w:pPr>
    </w:p>
    <w:p w14:paraId="046CB1AD" w14:textId="77777777" w:rsidR="00C34994" w:rsidRDefault="00C34994" w:rsidP="006D2651">
      <w:pPr>
        <w:jc w:val="center"/>
        <w:rPr>
          <w:rFonts w:ascii="Times New Roman" w:hAnsi="Times New Roman"/>
          <w:b/>
          <w:bCs/>
          <w:sz w:val="20"/>
          <w:szCs w:val="20"/>
        </w:rPr>
      </w:pPr>
    </w:p>
    <w:p w14:paraId="492378BC" w14:textId="77777777" w:rsidR="00C34994" w:rsidRDefault="00C34994" w:rsidP="006D2651">
      <w:pPr>
        <w:jc w:val="center"/>
        <w:rPr>
          <w:rFonts w:ascii="Times New Roman" w:hAnsi="Times New Roman"/>
          <w:b/>
          <w:bCs/>
          <w:sz w:val="20"/>
          <w:szCs w:val="20"/>
        </w:rPr>
      </w:pPr>
    </w:p>
    <w:p w14:paraId="15F7A80C" w14:textId="77777777" w:rsidR="00C34994" w:rsidRDefault="00C34994" w:rsidP="006D2651">
      <w:pPr>
        <w:jc w:val="center"/>
        <w:rPr>
          <w:rFonts w:ascii="Times New Roman" w:hAnsi="Times New Roman"/>
          <w:b/>
          <w:bCs/>
          <w:sz w:val="20"/>
          <w:szCs w:val="20"/>
        </w:rPr>
      </w:pPr>
    </w:p>
    <w:p w14:paraId="4FBA3E35" w14:textId="27EBA3CD" w:rsidR="008748CC" w:rsidRPr="006D2651" w:rsidRDefault="008748CC" w:rsidP="006D2651">
      <w:pPr>
        <w:jc w:val="center"/>
        <w:rPr>
          <w:rFonts w:ascii="Times New Roman" w:hAnsi="Times New Roman"/>
          <w:b/>
          <w:bCs/>
          <w:sz w:val="20"/>
          <w:szCs w:val="20"/>
        </w:rPr>
      </w:pPr>
      <w:r w:rsidRPr="006D2651">
        <w:rPr>
          <w:rFonts w:ascii="Times New Roman" w:hAnsi="Times New Roman"/>
          <w:b/>
          <w:bCs/>
          <w:sz w:val="20"/>
          <w:szCs w:val="20"/>
        </w:rPr>
        <w:t>Attachment 1 to Schedule A</w:t>
      </w:r>
    </w:p>
    <w:p w14:paraId="36F146C1" w14:textId="47E7FC1C" w:rsidR="008748CC" w:rsidRPr="006D2651" w:rsidRDefault="008748CC" w:rsidP="006D2651">
      <w:pPr>
        <w:ind w:left="720"/>
        <w:jc w:val="both"/>
        <w:rPr>
          <w:rFonts w:ascii="Times New Roman" w:hAnsi="Times New Roman"/>
          <w:sz w:val="20"/>
          <w:szCs w:val="20"/>
        </w:rPr>
      </w:pPr>
      <w:r w:rsidRPr="006D2651">
        <w:rPr>
          <w:rFonts w:ascii="Times New Roman" w:hAnsi="Times New Roman"/>
          <w:sz w:val="20"/>
          <w:szCs w:val="20"/>
        </w:rPr>
        <w:t>The entity to which these regulations apply shall submit all technical and operating data, as given below, of the petroleum and petroleum products</w:t>
      </w:r>
      <w:r w:rsidR="00D23A01" w:rsidRPr="006D2651">
        <w:rPr>
          <w:rFonts w:ascii="Times New Roman" w:hAnsi="Times New Roman"/>
          <w:sz w:val="20"/>
          <w:szCs w:val="20"/>
        </w:rPr>
        <w:t xml:space="preserve"> </w:t>
      </w:r>
      <w:r w:rsidRPr="006D2651">
        <w:rPr>
          <w:rFonts w:ascii="Times New Roman" w:hAnsi="Times New Roman"/>
          <w:sz w:val="20"/>
          <w:szCs w:val="20"/>
        </w:rPr>
        <w:t>pipeline project, that may be required by the Board in determination of the petroleum and petroleum product</w:t>
      </w:r>
      <w:r w:rsidR="00C57068" w:rsidRPr="006D2651">
        <w:rPr>
          <w:rFonts w:ascii="Times New Roman" w:hAnsi="Times New Roman"/>
          <w:sz w:val="20"/>
          <w:szCs w:val="20"/>
        </w:rPr>
        <w:t>s</w:t>
      </w:r>
      <w:r w:rsidRPr="006D2651">
        <w:rPr>
          <w:rFonts w:ascii="Times New Roman" w:hAnsi="Times New Roman"/>
          <w:sz w:val="20"/>
          <w:szCs w:val="20"/>
        </w:rPr>
        <w:t xml:space="preserve"> pipeline tariff.</w:t>
      </w:r>
    </w:p>
    <w:p w14:paraId="6134293C"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Map of the pipeline</w:t>
      </w:r>
    </w:p>
    <w:p w14:paraId="291EDBCF"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Date of Commissioning of the pipeline</w:t>
      </w:r>
    </w:p>
    <w:p w14:paraId="1FE35517"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Petroleum Products being transported</w:t>
      </w:r>
    </w:p>
    <w:p w14:paraId="6F44125E"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Injection points in the pipeline</w:t>
      </w:r>
    </w:p>
    <w:p w14:paraId="21819723"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Delivery points in the pipeline</w:t>
      </w:r>
    </w:p>
    <w:p w14:paraId="038FDE47"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Pipeline distance of the pipeline</w:t>
      </w:r>
    </w:p>
    <w:p w14:paraId="414F04FD" w14:textId="77777777" w:rsidR="008748CC" w:rsidRPr="006D2651" w:rsidRDefault="008748CC" w:rsidP="006D2651">
      <w:pPr>
        <w:pStyle w:val="ListParagraph"/>
        <w:numPr>
          <w:ilvl w:val="0"/>
          <w:numId w:val="14"/>
        </w:numPr>
        <w:spacing w:after="80"/>
        <w:ind w:left="1077" w:hanging="357"/>
        <w:contextualSpacing w:val="0"/>
        <w:jc w:val="both"/>
        <w:rPr>
          <w:rFonts w:ascii="Times New Roman" w:hAnsi="Times New Roman"/>
          <w:sz w:val="20"/>
          <w:szCs w:val="20"/>
        </w:rPr>
      </w:pPr>
      <w:r w:rsidRPr="006D2651">
        <w:rPr>
          <w:rFonts w:ascii="Times New Roman" w:hAnsi="Times New Roman"/>
          <w:sz w:val="20"/>
          <w:szCs w:val="20"/>
        </w:rPr>
        <w:t>Equivalent rail distance of the pipeline</w:t>
      </w:r>
    </w:p>
    <w:p w14:paraId="0F7F246C" w14:textId="77777777" w:rsidR="008748CC" w:rsidRPr="006D2651" w:rsidRDefault="008748CC" w:rsidP="006D2651">
      <w:pPr>
        <w:ind w:left="720"/>
        <w:jc w:val="center"/>
        <w:rPr>
          <w:rFonts w:ascii="Times New Roman" w:hAnsi="Times New Roman"/>
          <w:b/>
          <w:bCs/>
          <w:sz w:val="20"/>
          <w:szCs w:val="20"/>
        </w:rPr>
      </w:pPr>
    </w:p>
    <w:p w14:paraId="27BAA148"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2 to Schedule A</w:t>
      </w:r>
    </w:p>
    <w:p w14:paraId="3DCA0785" w14:textId="77777777"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The WPI for past 10 years is as per the table below with a CAGR of 3.4 per cent.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59"/>
        <w:gridCol w:w="1558"/>
        <w:gridCol w:w="1559"/>
        <w:gridCol w:w="1558"/>
        <w:gridCol w:w="1559"/>
      </w:tblGrid>
      <w:tr w:rsidR="006D2651" w:rsidRPr="006D2651" w14:paraId="7161E977" w14:textId="77777777" w:rsidTr="006D2651">
        <w:trPr>
          <w:trHeight w:val="280"/>
        </w:trPr>
        <w:tc>
          <w:tcPr>
            <w:tcW w:w="1558" w:type="dxa"/>
            <w:shd w:val="clear" w:color="auto" w:fill="auto"/>
            <w:noWrap/>
            <w:vAlign w:val="bottom"/>
            <w:hideMark/>
          </w:tcPr>
          <w:p w14:paraId="0A8F5448"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2013-14</w:t>
            </w:r>
          </w:p>
        </w:tc>
        <w:tc>
          <w:tcPr>
            <w:tcW w:w="1559" w:type="dxa"/>
            <w:shd w:val="clear" w:color="auto" w:fill="auto"/>
            <w:noWrap/>
            <w:vAlign w:val="bottom"/>
            <w:hideMark/>
          </w:tcPr>
          <w:p w14:paraId="37A11544"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2014-15</w:t>
            </w:r>
          </w:p>
        </w:tc>
        <w:tc>
          <w:tcPr>
            <w:tcW w:w="1558" w:type="dxa"/>
            <w:shd w:val="clear" w:color="auto" w:fill="auto"/>
            <w:noWrap/>
            <w:vAlign w:val="bottom"/>
            <w:hideMark/>
          </w:tcPr>
          <w:p w14:paraId="39B993A4"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2015-16</w:t>
            </w:r>
          </w:p>
        </w:tc>
        <w:tc>
          <w:tcPr>
            <w:tcW w:w="1559" w:type="dxa"/>
            <w:shd w:val="clear" w:color="auto" w:fill="auto"/>
            <w:noWrap/>
            <w:vAlign w:val="bottom"/>
            <w:hideMark/>
          </w:tcPr>
          <w:p w14:paraId="1F61CE6D"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2016-17</w:t>
            </w:r>
          </w:p>
        </w:tc>
        <w:tc>
          <w:tcPr>
            <w:tcW w:w="1558" w:type="dxa"/>
            <w:shd w:val="clear" w:color="auto" w:fill="auto"/>
            <w:noWrap/>
            <w:vAlign w:val="bottom"/>
            <w:hideMark/>
          </w:tcPr>
          <w:p w14:paraId="0638E8E5"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2017-18</w:t>
            </w:r>
          </w:p>
        </w:tc>
        <w:tc>
          <w:tcPr>
            <w:tcW w:w="1559" w:type="dxa"/>
            <w:shd w:val="clear" w:color="auto" w:fill="auto"/>
            <w:noWrap/>
            <w:vAlign w:val="bottom"/>
            <w:hideMark/>
          </w:tcPr>
          <w:p w14:paraId="504B3CA2"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2018-19</w:t>
            </w:r>
          </w:p>
        </w:tc>
      </w:tr>
      <w:tr w:rsidR="006D2651" w:rsidRPr="006D2651" w14:paraId="3D476E24" w14:textId="77777777" w:rsidTr="006D2651">
        <w:trPr>
          <w:trHeight w:val="280"/>
        </w:trPr>
        <w:tc>
          <w:tcPr>
            <w:tcW w:w="1558" w:type="dxa"/>
            <w:shd w:val="clear" w:color="auto" w:fill="auto"/>
            <w:noWrap/>
            <w:vAlign w:val="bottom"/>
            <w:hideMark/>
          </w:tcPr>
          <w:p w14:paraId="54467988"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112.46</w:t>
            </w:r>
          </w:p>
        </w:tc>
        <w:tc>
          <w:tcPr>
            <w:tcW w:w="1559" w:type="dxa"/>
            <w:shd w:val="clear" w:color="auto" w:fill="auto"/>
            <w:noWrap/>
            <w:vAlign w:val="bottom"/>
            <w:hideMark/>
          </w:tcPr>
          <w:p w14:paraId="2EB147A0"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113.88</w:t>
            </w:r>
          </w:p>
        </w:tc>
        <w:tc>
          <w:tcPr>
            <w:tcW w:w="1558" w:type="dxa"/>
            <w:shd w:val="clear" w:color="auto" w:fill="auto"/>
            <w:noWrap/>
            <w:vAlign w:val="bottom"/>
            <w:hideMark/>
          </w:tcPr>
          <w:p w14:paraId="62158A35"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109.72</w:t>
            </w:r>
          </w:p>
        </w:tc>
        <w:tc>
          <w:tcPr>
            <w:tcW w:w="1559" w:type="dxa"/>
            <w:shd w:val="clear" w:color="auto" w:fill="auto"/>
            <w:noWrap/>
            <w:vAlign w:val="bottom"/>
            <w:hideMark/>
          </w:tcPr>
          <w:p w14:paraId="6F63FF39"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111.62</w:t>
            </w:r>
          </w:p>
        </w:tc>
        <w:tc>
          <w:tcPr>
            <w:tcW w:w="1558" w:type="dxa"/>
            <w:shd w:val="clear" w:color="auto" w:fill="auto"/>
            <w:noWrap/>
            <w:vAlign w:val="bottom"/>
            <w:hideMark/>
          </w:tcPr>
          <w:p w14:paraId="6A432417"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114.88</w:t>
            </w:r>
          </w:p>
        </w:tc>
        <w:tc>
          <w:tcPr>
            <w:tcW w:w="1559" w:type="dxa"/>
            <w:shd w:val="clear" w:color="auto" w:fill="auto"/>
            <w:noWrap/>
            <w:vAlign w:val="bottom"/>
            <w:hideMark/>
          </w:tcPr>
          <w:p w14:paraId="2CCC8642"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119.79</w:t>
            </w:r>
          </w:p>
        </w:tc>
      </w:tr>
    </w:tbl>
    <w:p w14:paraId="78591E96" w14:textId="77777777" w:rsidR="006D2651" w:rsidRPr="006D2651" w:rsidRDefault="006D2651" w:rsidP="006D2651">
      <w:pPr>
        <w:spacing w:after="0"/>
        <w:jc w:val="both"/>
        <w:rPr>
          <w:rFonts w:ascii="Times New Roman" w:hAnsi="Times New Roman"/>
          <w:sz w:val="20"/>
          <w:szCs w:val="20"/>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tblGrid>
      <w:tr w:rsidR="006D2651" w:rsidRPr="006D2651" w14:paraId="267EA472" w14:textId="77777777" w:rsidTr="006D2651">
        <w:trPr>
          <w:trHeight w:val="280"/>
        </w:trPr>
        <w:tc>
          <w:tcPr>
            <w:tcW w:w="1555" w:type="dxa"/>
            <w:shd w:val="clear" w:color="auto" w:fill="auto"/>
            <w:noWrap/>
            <w:vAlign w:val="bottom"/>
            <w:hideMark/>
          </w:tcPr>
          <w:p w14:paraId="0DF75396"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2019-20</w:t>
            </w:r>
          </w:p>
        </w:tc>
        <w:tc>
          <w:tcPr>
            <w:tcW w:w="1559" w:type="dxa"/>
            <w:shd w:val="clear" w:color="auto" w:fill="auto"/>
            <w:noWrap/>
            <w:vAlign w:val="bottom"/>
            <w:hideMark/>
          </w:tcPr>
          <w:p w14:paraId="644E54F7"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2020-21</w:t>
            </w:r>
          </w:p>
        </w:tc>
        <w:tc>
          <w:tcPr>
            <w:tcW w:w="1559" w:type="dxa"/>
            <w:shd w:val="clear" w:color="auto" w:fill="auto"/>
            <w:noWrap/>
            <w:vAlign w:val="bottom"/>
            <w:hideMark/>
          </w:tcPr>
          <w:p w14:paraId="2C1E7FC4"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2021-22</w:t>
            </w:r>
          </w:p>
        </w:tc>
        <w:tc>
          <w:tcPr>
            <w:tcW w:w="1559" w:type="dxa"/>
            <w:shd w:val="clear" w:color="auto" w:fill="auto"/>
            <w:noWrap/>
            <w:vAlign w:val="bottom"/>
            <w:hideMark/>
          </w:tcPr>
          <w:p w14:paraId="29185B98"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2022-23</w:t>
            </w:r>
          </w:p>
        </w:tc>
      </w:tr>
      <w:tr w:rsidR="006D2651" w:rsidRPr="006D2651" w14:paraId="2D3A5444" w14:textId="77777777" w:rsidTr="006D2651">
        <w:trPr>
          <w:trHeight w:val="280"/>
        </w:trPr>
        <w:tc>
          <w:tcPr>
            <w:tcW w:w="1555" w:type="dxa"/>
            <w:shd w:val="clear" w:color="auto" w:fill="auto"/>
            <w:noWrap/>
            <w:vAlign w:val="bottom"/>
            <w:hideMark/>
          </w:tcPr>
          <w:p w14:paraId="6377752A" w14:textId="77777777" w:rsidR="006D2651" w:rsidRPr="006D2651" w:rsidRDefault="006D2651" w:rsidP="006D2651">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121.80</w:t>
            </w:r>
          </w:p>
        </w:tc>
        <w:tc>
          <w:tcPr>
            <w:tcW w:w="1559" w:type="dxa"/>
            <w:shd w:val="clear" w:color="auto" w:fill="auto"/>
            <w:noWrap/>
            <w:vAlign w:val="bottom"/>
            <w:hideMark/>
          </w:tcPr>
          <w:p w14:paraId="78D6BE98" w14:textId="77777777" w:rsidR="006D2651" w:rsidRPr="006D2651" w:rsidRDefault="006D2651" w:rsidP="006D2651">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123.38</w:t>
            </w:r>
          </w:p>
        </w:tc>
        <w:tc>
          <w:tcPr>
            <w:tcW w:w="1559" w:type="dxa"/>
            <w:shd w:val="clear" w:color="auto" w:fill="auto"/>
            <w:noWrap/>
            <w:vAlign w:val="bottom"/>
            <w:hideMark/>
          </w:tcPr>
          <w:p w14:paraId="615AD476" w14:textId="77777777" w:rsidR="006D2651" w:rsidRPr="006D2651" w:rsidRDefault="006D2651" w:rsidP="006D2651">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139.41</w:t>
            </w:r>
          </w:p>
        </w:tc>
        <w:tc>
          <w:tcPr>
            <w:tcW w:w="1559" w:type="dxa"/>
            <w:shd w:val="clear" w:color="auto" w:fill="auto"/>
            <w:noWrap/>
            <w:vAlign w:val="bottom"/>
            <w:hideMark/>
          </w:tcPr>
          <w:p w14:paraId="7495ADD2" w14:textId="77777777" w:rsidR="006D2651" w:rsidRPr="006D2651" w:rsidRDefault="006D2651" w:rsidP="006D2651">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152.53</w:t>
            </w:r>
          </w:p>
        </w:tc>
      </w:tr>
    </w:tbl>
    <w:p w14:paraId="31BF7BA9" w14:textId="7777777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The CAGR is calculated on floating basis for past 10 years. Any change in CAGR beyond (+) or (-) 0.5 per cent will trigger the changes in the CAGR to be considered for tariff calculations.</w:t>
      </w:r>
    </w:p>
    <w:p w14:paraId="19F7DCC3" w14:textId="77777777"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 xml:space="preserve">For 2023-24, in case where WPI index is increased by 6 per cent over previous year, the CAGR will be calculated for the years 2014-15 to 2023-24. The table WPI index will be as follows –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59"/>
        <w:gridCol w:w="1558"/>
        <w:gridCol w:w="1559"/>
        <w:gridCol w:w="1558"/>
        <w:gridCol w:w="1559"/>
      </w:tblGrid>
      <w:tr w:rsidR="006D2651" w:rsidRPr="006D2651" w14:paraId="3FA98841" w14:textId="77777777" w:rsidTr="006D2651">
        <w:trPr>
          <w:trHeight w:val="280"/>
        </w:trPr>
        <w:tc>
          <w:tcPr>
            <w:tcW w:w="1558" w:type="dxa"/>
            <w:shd w:val="clear" w:color="auto" w:fill="auto"/>
            <w:noWrap/>
            <w:vAlign w:val="bottom"/>
            <w:hideMark/>
          </w:tcPr>
          <w:p w14:paraId="54DCDA90"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2014-15</w:t>
            </w:r>
          </w:p>
        </w:tc>
        <w:tc>
          <w:tcPr>
            <w:tcW w:w="1559" w:type="dxa"/>
            <w:shd w:val="clear" w:color="auto" w:fill="auto"/>
            <w:noWrap/>
            <w:vAlign w:val="bottom"/>
          </w:tcPr>
          <w:p w14:paraId="37B9A938"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2015-16</w:t>
            </w:r>
          </w:p>
        </w:tc>
        <w:tc>
          <w:tcPr>
            <w:tcW w:w="1558" w:type="dxa"/>
            <w:shd w:val="clear" w:color="auto" w:fill="auto"/>
            <w:noWrap/>
            <w:vAlign w:val="bottom"/>
          </w:tcPr>
          <w:p w14:paraId="689D9A30"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2016-17</w:t>
            </w:r>
          </w:p>
        </w:tc>
        <w:tc>
          <w:tcPr>
            <w:tcW w:w="1559" w:type="dxa"/>
            <w:shd w:val="clear" w:color="auto" w:fill="auto"/>
            <w:noWrap/>
            <w:vAlign w:val="bottom"/>
          </w:tcPr>
          <w:p w14:paraId="01312345"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2017-18</w:t>
            </w:r>
          </w:p>
        </w:tc>
        <w:tc>
          <w:tcPr>
            <w:tcW w:w="1558" w:type="dxa"/>
            <w:shd w:val="clear" w:color="auto" w:fill="auto"/>
            <w:noWrap/>
            <w:vAlign w:val="bottom"/>
          </w:tcPr>
          <w:p w14:paraId="5522BCE5"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2018-19</w:t>
            </w:r>
          </w:p>
        </w:tc>
        <w:tc>
          <w:tcPr>
            <w:tcW w:w="1559" w:type="dxa"/>
            <w:shd w:val="clear" w:color="auto" w:fill="auto"/>
            <w:noWrap/>
            <w:vAlign w:val="bottom"/>
          </w:tcPr>
          <w:p w14:paraId="30B58B30"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2019-20</w:t>
            </w:r>
          </w:p>
        </w:tc>
      </w:tr>
      <w:tr w:rsidR="006D2651" w:rsidRPr="006D2651" w14:paraId="7C5D314E" w14:textId="77777777" w:rsidTr="006D2651">
        <w:trPr>
          <w:trHeight w:val="280"/>
        </w:trPr>
        <w:tc>
          <w:tcPr>
            <w:tcW w:w="1558" w:type="dxa"/>
            <w:shd w:val="clear" w:color="auto" w:fill="auto"/>
            <w:noWrap/>
            <w:vAlign w:val="bottom"/>
            <w:hideMark/>
          </w:tcPr>
          <w:p w14:paraId="65DCFAF4"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113.88</w:t>
            </w:r>
          </w:p>
        </w:tc>
        <w:tc>
          <w:tcPr>
            <w:tcW w:w="1559" w:type="dxa"/>
            <w:shd w:val="clear" w:color="auto" w:fill="auto"/>
            <w:noWrap/>
            <w:vAlign w:val="bottom"/>
          </w:tcPr>
          <w:p w14:paraId="69945E92"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109.72</w:t>
            </w:r>
          </w:p>
        </w:tc>
        <w:tc>
          <w:tcPr>
            <w:tcW w:w="1558" w:type="dxa"/>
            <w:shd w:val="clear" w:color="auto" w:fill="auto"/>
            <w:noWrap/>
            <w:vAlign w:val="bottom"/>
          </w:tcPr>
          <w:p w14:paraId="7BFCF182"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111.62</w:t>
            </w:r>
          </w:p>
        </w:tc>
        <w:tc>
          <w:tcPr>
            <w:tcW w:w="1559" w:type="dxa"/>
            <w:shd w:val="clear" w:color="auto" w:fill="auto"/>
            <w:noWrap/>
            <w:vAlign w:val="bottom"/>
          </w:tcPr>
          <w:p w14:paraId="31CA0CB3"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114.88</w:t>
            </w:r>
          </w:p>
        </w:tc>
        <w:tc>
          <w:tcPr>
            <w:tcW w:w="1558" w:type="dxa"/>
            <w:shd w:val="clear" w:color="auto" w:fill="auto"/>
            <w:noWrap/>
            <w:vAlign w:val="bottom"/>
          </w:tcPr>
          <w:p w14:paraId="2F560E43"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119.79</w:t>
            </w:r>
          </w:p>
        </w:tc>
        <w:tc>
          <w:tcPr>
            <w:tcW w:w="1559" w:type="dxa"/>
            <w:shd w:val="clear" w:color="auto" w:fill="auto"/>
            <w:noWrap/>
            <w:vAlign w:val="bottom"/>
          </w:tcPr>
          <w:p w14:paraId="136DF503"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121.80</w:t>
            </w:r>
          </w:p>
        </w:tc>
      </w:tr>
    </w:tbl>
    <w:p w14:paraId="1E39668A" w14:textId="77777777" w:rsidR="006D2651" w:rsidRPr="006D2651" w:rsidRDefault="006D2651" w:rsidP="006D2651">
      <w:pPr>
        <w:spacing w:after="0"/>
        <w:jc w:val="both"/>
        <w:rPr>
          <w:rFonts w:ascii="Times New Roman" w:hAnsi="Times New Roman"/>
          <w:sz w:val="20"/>
          <w:szCs w:val="20"/>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tblGrid>
      <w:tr w:rsidR="006D2651" w:rsidRPr="006D2651" w14:paraId="1BF0497D" w14:textId="77777777" w:rsidTr="006D2651">
        <w:trPr>
          <w:trHeight w:val="280"/>
        </w:trPr>
        <w:tc>
          <w:tcPr>
            <w:tcW w:w="1555" w:type="dxa"/>
            <w:shd w:val="clear" w:color="auto" w:fill="auto"/>
            <w:noWrap/>
            <w:vAlign w:val="bottom"/>
          </w:tcPr>
          <w:p w14:paraId="1B1F7083"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2020-21</w:t>
            </w:r>
          </w:p>
        </w:tc>
        <w:tc>
          <w:tcPr>
            <w:tcW w:w="1559" w:type="dxa"/>
            <w:shd w:val="clear" w:color="auto" w:fill="auto"/>
            <w:noWrap/>
            <w:vAlign w:val="bottom"/>
          </w:tcPr>
          <w:p w14:paraId="202C03CB"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2021-22</w:t>
            </w:r>
          </w:p>
        </w:tc>
        <w:tc>
          <w:tcPr>
            <w:tcW w:w="1559" w:type="dxa"/>
            <w:shd w:val="clear" w:color="auto" w:fill="auto"/>
            <w:noWrap/>
            <w:vAlign w:val="bottom"/>
          </w:tcPr>
          <w:p w14:paraId="539A510C"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2022-23</w:t>
            </w:r>
          </w:p>
        </w:tc>
        <w:tc>
          <w:tcPr>
            <w:tcW w:w="1559" w:type="dxa"/>
            <w:shd w:val="clear" w:color="auto" w:fill="auto"/>
            <w:noWrap/>
            <w:vAlign w:val="bottom"/>
          </w:tcPr>
          <w:p w14:paraId="62240C14" w14:textId="77777777" w:rsidR="006D2651" w:rsidRPr="006D2651" w:rsidRDefault="006D2651" w:rsidP="006D2651">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2023-24 (assumed)</w:t>
            </w:r>
          </w:p>
        </w:tc>
      </w:tr>
      <w:tr w:rsidR="006D2651" w:rsidRPr="006D2651" w14:paraId="70075350" w14:textId="77777777" w:rsidTr="006D2651">
        <w:trPr>
          <w:trHeight w:val="280"/>
        </w:trPr>
        <w:tc>
          <w:tcPr>
            <w:tcW w:w="1555" w:type="dxa"/>
            <w:shd w:val="clear" w:color="auto" w:fill="auto"/>
            <w:noWrap/>
            <w:vAlign w:val="bottom"/>
          </w:tcPr>
          <w:p w14:paraId="6C3FFB4D"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123.38</w:t>
            </w:r>
          </w:p>
        </w:tc>
        <w:tc>
          <w:tcPr>
            <w:tcW w:w="1559" w:type="dxa"/>
            <w:shd w:val="clear" w:color="auto" w:fill="auto"/>
            <w:noWrap/>
            <w:vAlign w:val="bottom"/>
          </w:tcPr>
          <w:p w14:paraId="6D98B055"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139.41</w:t>
            </w:r>
          </w:p>
        </w:tc>
        <w:tc>
          <w:tcPr>
            <w:tcW w:w="1559" w:type="dxa"/>
            <w:shd w:val="clear" w:color="auto" w:fill="auto"/>
            <w:noWrap/>
            <w:vAlign w:val="bottom"/>
          </w:tcPr>
          <w:p w14:paraId="15B1945C"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152.53</w:t>
            </w:r>
          </w:p>
        </w:tc>
        <w:tc>
          <w:tcPr>
            <w:tcW w:w="1559" w:type="dxa"/>
            <w:shd w:val="clear" w:color="auto" w:fill="auto"/>
            <w:noWrap/>
            <w:vAlign w:val="bottom"/>
          </w:tcPr>
          <w:p w14:paraId="58953B0D" w14:textId="77777777" w:rsidR="006D2651" w:rsidRPr="006D2651" w:rsidRDefault="006D2651" w:rsidP="006D2651">
            <w:pPr>
              <w:spacing w:after="0"/>
              <w:jc w:val="both"/>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161.68</w:t>
            </w:r>
          </w:p>
        </w:tc>
      </w:tr>
    </w:tbl>
    <w:p w14:paraId="64140BFC" w14:textId="7777777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The CAGR for the WPI trend above is 4.0 per cent which is beyond +0.5 per cent to that of 3.4 per cent. As a result, the WPI for the year will be considered as 4.0 per cent.</w:t>
      </w:r>
    </w:p>
    <w:p w14:paraId="701CC059" w14:textId="77777777"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Alternately, for the year 2023-24 consider where WPI index is increased by 3 per cent over previous year, the WPI will be 157.10 and the corresponding CAGR for the years 2014-15 to 2023-24 will be calculated as 3.6 per cent. In such case the deviation from the initial CAGR, i.e., 3.4 per cent is below 0.5 per cent, so the tariffs will be calculated considering the CAGR of 3.4 per cent.</w:t>
      </w:r>
    </w:p>
    <w:p w14:paraId="1BA4F3CA" w14:textId="6529F48E" w:rsidR="003D68DD" w:rsidRPr="00130B24" w:rsidRDefault="006D2651" w:rsidP="00130B24">
      <w:pPr>
        <w:jc w:val="both"/>
        <w:rPr>
          <w:rFonts w:ascii="Times New Roman" w:hAnsi="Times New Roman"/>
          <w:sz w:val="20"/>
          <w:szCs w:val="20"/>
        </w:rPr>
      </w:pPr>
      <w:r w:rsidRPr="006D2651">
        <w:rPr>
          <w:rFonts w:ascii="Times New Roman" w:hAnsi="Times New Roman"/>
          <w:sz w:val="20"/>
          <w:szCs w:val="20"/>
        </w:rPr>
        <w:lastRenderedPageBreak/>
        <w:t>The trigger for changes in CAGR is restricted to a range of floating CAGR for 10 years beyond the range of 2.90 per cent</w:t>
      </w:r>
      <w:r w:rsidRPr="006D2651" w:rsidDel="00A92EC8">
        <w:rPr>
          <w:rFonts w:ascii="Times New Roman" w:hAnsi="Times New Roman"/>
          <w:sz w:val="20"/>
          <w:szCs w:val="20"/>
        </w:rPr>
        <w:t xml:space="preserve"> </w:t>
      </w:r>
      <w:r w:rsidRPr="006D2651">
        <w:rPr>
          <w:rFonts w:ascii="Times New Roman" w:hAnsi="Times New Roman"/>
          <w:sz w:val="20"/>
          <w:szCs w:val="20"/>
        </w:rPr>
        <w:t xml:space="preserve">- 3.90 per cent. Any change in the CAGR beyond this limit will be used as </w:t>
      </w:r>
      <w:r w:rsidR="00130B24">
        <w:rPr>
          <w:rFonts w:ascii="Times New Roman" w:hAnsi="Times New Roman"/>
          <w:sz w:val="20"/>
          <w:szCs w:val="20"/>
        </w:rPr>
        <w:t>the WPI for tariff calculation.</w:t>
      </w:r>
    </w:p>
    <w:p w14:paraId="196D372E" w14:textId="77777777" w:rsidR="00C34994" w:rsidRDefault="00C34994" w:rsidP="006D2651">
      <w:pPr>
        <w:jc w:val="center"/>
        <w:rPr>
          <w:rFonts w:ascii="Times New Roman" w:hAnsi="Times New Roman"/>
          <w:b/>
          <w:bCs/>
          <w:sz w:val="20"/>
          <w:szCs w:val="20"/>
        </w:rPr>
      </w:pPr>
    </w:p>
    <w:p w14:paraId="2626D7D0" w14:textId="6DE469EE"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3 to Schedule A</w:t>
      </w:r>
    </w:p>
    <w:p w14:paraId="3B3200A2" w14:textId="77777777" w:rsidR="006D2651" w:rsidRPr="006D2651" w:rsidRDefault="006D2651" w:rsidP="006D2651">
      <w:pPr>
        <w:jc w:val="both"/>
        <w:rPr>
          <w:rFonts w:ascii="Times New Roman" w:hAnsi="Times New Roman"/>
          <w:b/>
          <w:bCs/>
          <w:sz w:val="20"/>
          <w:szCs w:val="20"/>
        </w:rPr>
      </w:pPr>
      <w:r w:rsidRPr="006D2651">
        <w:rPr>
          <w:rFonts w:ascii="Times New Roman" w:hAnsi="Times New Roman"/>
          <w:b/>
          <w:bCs/>
          <w:sz w:val="20"/>
          <w:szCs w:val="20"/>
        </w:rPr>
        <w:t>Illustration-1 for LPG pipeline</w:t>
      </w:r>
    </w:p>
    <w:p w14:paraId="084F17ED" w14:textId="77777777"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 xml:space="preserve">An LPG pipeline with equivalent rail distance of 770 km transporting LPG is assumed to have an injection point at A and multiple tap-off points (TOP) at B, C and D. Product flow is assumed only from injection at A to TOP B which is at a distance of 770 km. The pipeline has been commissioned before the notification of the Petroleum and Natural Gas Regulatory Board (Determination of Petroleum and Petroleum Products Pipeline Transportation Tariff) Regulations, 2010. </w:t>
      </w:r>
    </w:p>
    <w:p w14:paraId="5D55A71A" w14:textId="6258A9C9"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 xml:space="preserve">Petroleum products pipeline transportation tariffs for such pipeline till the date on which these regulations come into force are determined through benchmarking against basic notional railway freight on train load basis for equivalent rail distance along pipeline route. For LPG, the pipeline tariff is benchmarked at 100 per </w:t>
      </w:r>
      <w:r w:rsidR="00C90AAE" w:rsidRPr="006D2651">
        <w:rPr>
          <w:rFonts w:ascii="Times New Roman" w:hAnsi="Times New Roman"/>
          <w:sz w:val="20"/>
          <w:szCs w:val="20"/>
        </w:rPr>
        <w:t>cent</w:t>
      </w:r>
      <w:r w:rsidR="00C90AAE" w:rsidRPr="006D2651" w:rsidDel="005346BA">
        <w:rPr>
          <w:rFonts w:ascii="Times New Roman" w:hAnsi="Times New Roman"/>
          <w:sz w:val="20"/>
          <w:szCs w:val="20"/>
        </w:rPr>
        <w:t xml:space="preserve"> </w:t>
      </w:r>
      <w:r w:rsidR="00C90AAE" w:rsidRPr="006D2651">
        <w:rPr>
          <w:rFonts w:ascii="Times New Roman" w:hAnsi="Times New Roman"/>
          <w:sz w:val="20"/>
          <w:szCs w:val="20"/>
        </w:rPr>
        <w:t>of</w:t>
      </w:r>
      <w:r w:rsidRPr="006D2651">
        <w:rPr>
          <w:rFonts w:ascii="Times New Roman" w:hAnsi="Times New Roman"/>
          <w:sz w:val="20"/>
          <w:szCs w:val="20"/>
        </w:rPr>
        <w:t xml:space="preserve"> basic notional railway freight under class 165.</w:t>
      </w:r>
    </w:p>
    <w:p w14:paraId="39F87FA4" w14:textId="0BE183C5"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As per railway freight circular 2018 (Rates Circular No. 19 of 2018, TCR/1078/2018/15 dated 03.10.2018), applicable from 1</w:t>
      </w:r>
      <w:r w:rsidRPr="006D2651">
        <w:rPr>
          <w:rFonts w:ascii="Times New Roman" w:hAnsi="Times New Roman"/>
          <w:sz w:val="20"/>
          <w:szCs w:val="20"/>
          <w:vertAlign w:val="superscript"/>
        </w:rPr>
        <w:t>st</w:t>
      </w:r>
      <w:r w:rsidRPr="006D2651">
        <w:rPr>
          <w:rFonts w:ascii="Times New Roman" w:hAnsi="Times New Roman"/>
          <w:sz w:val="20"/>
          <w:szCs w:val="20"/>
        </w:rPr>
        <w:t xml:space="preserve"> Nov 2018, freight rate </w:t>
      </w:r>
      <w:r w:rsidR="00C90AAE" w:rsidRPr="006D2651">
        <w:rPr>
          <w:rFonts w:ascii="Times New Roman" w:hAnsi="Times New Roman"/>
          <w:sz w:val="20"/>
          <w:szCs w:val="20"/>
        </w:rPr>
        <w:t xml:space="preserve">is </w:t>
      </w:r>
      <w:r w:rsidR="00132350" w:rsidRPr="00132350">
        <w:rPr>
          <w:rFonts w:ascii="Times New Roman" w:eastAsia="Times New Roman" w:hAnsi="Times New Roman"/>
          <w:sz w:val="20"/>
          <w:szCs w:val="20"/>
          <w:lang w:val="en-GB" w:eastAsia="en-GB"/>
        </w:rPr>
        <w:t>₹</w:t>
      </w:r>
      <w:r w:rsidR="00C90AAE" w:rsidRPr="006D2651">
        <w:rPr>
          <w:rFonts w:ascii="Times New Roman" w:hAnsi="Times New Roman"/>
          <w:sz w:val="20"/>
          <w:szCs w:val="20"/>
        </w:rPr>
        <w:t>1353.50</w:t>
      </w:r>
      <w:r w:rsidRPr="006D2651">
        <w:rPr>
          <w:rFonts w:ascii="Times New Roman" w:hAnsi="Times New Roman"/>
          <w:sz w:val="20"/>
          <w:szCs w:val="20"/>
        </w:rPr>
        <w:t xml:space="preserve">/MT. The rates remained unchanged even as per Rates Circular No. 09 of 2021. </w:t>
      </w:r>
    </w:p>
    <w:p w14:paraId="37537E1B" w14:textId="20B4CC4A" w:rsidR="00130B24" w:rsidRPr="006D2651" w:rsidRDefault="006D2651" w:rsidP="006D2651">
      <w:pPr>
        <w:jc w:val="both"/>
        <w:rPr>
          <w:rFonts w:ascii="Times New Roman" w:hAnsi="Times New Roman"/>
          <w:sz w:val="20"/>
          <w:szCs w:val="20"/>
        </w:rPr>
      </w:pPr>
      <w:r w:rsidRPr="006D2651">
        <w:rPr>
          <w:rFonts w:ascii="Times New Roman" w:hAnsi="Times New Roman"/>
          <w:sz w:val="20"/>
          <w:szCs w:val="20"/>
        </w:rPr>
        <w:t>The existing pipeline tariff rates from FY 2018 to FY 2024 are as follows:</w:t>
      </w:r>
    </w:p>
    <w:tbl>
      <w:tblPr>
        <w:tblStyle w:val="TableGrid"/>
        <w:tblW w:w="0" w:type="auto"/>
        <w:tblInd w:w="853" w:type="dxa"/>
        <w:tblLayout w:type="fixed"/>
        <w:tblLook w:val="04A0" w:firstRow="1" w:lastRow="0" w:firstColumn="1" w:lastColumn="0" w:noHBand="0" w:noVBand="1"/>
      </w:tblPr>
      <w:tblGrid>
        <w:gridCol w:w="1124"/>
        <w:gridCol w:w="1139"/>
        <w:gridCol w:w="1276"/>
        <w:gridCol w:w="284"/>
        <w:gridCol w:w="1257"/>
        <w:gridCol w:w="1276"/>
        <w:gridCol w:w="1276"/>
      </w:tblGrid>
      <w:tr w:rsidR="006D2651" w:rsidRPr="006D2651" w14:paraId="701B35CF" w14:textId="77777777" w:rsidTr="006D2651">
        <w:tc>
          <w:tcPr>
            <w:tcW w:w="1124" w:type="dxa"/>
          </w:tcPr>
          <w:p w14:paraId="3E32C808"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Year</w:t>
            </w:r>
          </w:p>
        </w:tc>
        <w:tc>
          <w:tcPr>
            <w:tcW w:w="1139" w:type="dxa"/>
            <w:vAlign w:val="center"/>
          </w:tcPr>
          <w:p w14:paraId="3D30A0D1" w14:textId="77777777" w:rsidR="006D2651" w:rsidRPr="006D2651" w:rsidRDefault="006D2651" w:rsidP="006D2651">
            <w:pPr>
              <w:jc w:val="center"/>
              <w:rPr>
                <w:rFonts w:ascii="Times New Roman" w:hAnsi="Times New Roman"/>
                <w:b/>
                <w:bCs/>
                <w:sz w:val="20"/>
                <w:szCs w:val="20"/>
              </w:rPr>
            </w:pPr>
            <w:r w:rsidRPr="006D2651">
              <w:rPr>
                <w:rFonts w:ascii="Times New Roman" w:eastAsia="Times New Roman" w:hAnsi="Times New Roman"/>
                <w:b/>
                <w:bCs/>
                <w:sz w:val="20"/>
                <w:szCs w:val="20"/>
                <w:lang w:val="en-GB" w:eastAsia="en-GB"/>
              </w:rPr>
              <w:t>Railway Freight (₹/MT)</w:t>
            </w:r>
          </w:p>
        </w:tc>
        <w:tc>
          <w:tcPr>
            <w:tcW w:w="1276" w:type="dxa"/>
          </w:tcPr>
          <w:p w14:paraId="0D963776"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Pipeline Tariff (₹/MT)</w:t>
            </w:r>
          </w:p>
        </w:tc>
        <w:tc>
          <w:tcPr>
            <w:tcW w:w="284" w:type="dxa"/>
            <w:shd w:val="clear" w:color="auto" w:fill="A6A6A6" w:themeFill="background1" w:themeFillShade="A6"/>
          </w:tcPr>
          <w:p w14:paraId="56DA72EC" w14:textId="77777777" w:rsidR="006D2651" w:rsidRPr="006D2651" w:rsidRDefault="006D2651" w:rsidP="006D2651">
            <w:pPr>
              <w:jc w:val="both"/>
              <w:rPr>
                <w:rFonts w:ascii="Times New Roman" w:eastAsia="Times New Roman" w:hAnsi="Times New Roman"/>
                <w:b/>
                <w:bCs/>
                <w:sz w:val="20"/>
                <w:szCs w:val="20"/>
                <w:highlight w:val="lightGray"/>
                <w:lang w:val="en-GB" w:eastAsia="en-GB"/>
              </w:rPr>
            </w:pPr>
          </w:p>
        </w:tc>
        <w:tc>
          <w:tcPr>
            <w:tcW w:w="1257" w:type="dxa"/>
          </w:tcPr>
          <w:p w14:paraId="1577A566"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hAnsi="Times New Roman"/>
                <w:b/>
                <w:bCs/>
                <w:sz w:val="20"/>
                <w:szCs w:val="20"/>
              </w:rPr>
              <w:t>Year</w:t>
            </w:r>
          </w:p>
        </w:tc>
        <w:tc>
          <w:tcPr>
            <w:tcW w:w="1276" w:type="dxa"/>
          </w:tcPr>
          <w:p w14:paraId="2A10EF7B"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Railway Freight (₹/MT)</w:t>
            </w:r>
          </w:p>
        </w:tc>
        <w:tc>
          <w:tcPr>
            <w:tcW w:w="1276" w:type="dxa"/>
          </w:tcPr>
          <w:p w14:paraId="66C008B7"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Pipeline Tariff (₹/MT)</w:t>
            </w:r>
          </w:p>
        </w:tc>
      </w:tr>
      <w:tr w:rsidR="006D2651" w:rsidRPr="006D2651" w14:paraId="612D5A16" w14:textId="77777777" w:rsidTr="006D2651">
        <w:tc>
          <w:tcPr>
            <w:tcW w:w="1124" w:type="dxa"/>
          </w:tcPr>
          <w:p w14:paraId="5EEC4487"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2018</w:t>
            </w:r>
          </w:p>
        </w:tc>
        <w:tc>
          <w:tcPr>
            <w:tcW w:w="1139" w:type="dxa"/>
            <w:vAlign w:val="center"/>
          </w:tcPr>
          <w:p w14:paraId="290DD279"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1244.60 </w:t>
            </w:r>
          </w:p>
        </w:tc>
        <w:tc>
          <w:tcPr>
            <w:tcW w:w="1276" w:type="dxa"/>
          </w:tcPr>
          <w:p w14:paraId="12504739"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1244.60</w:t>
            </w:r>
          </w:p>
        </w:tc>
        <w:tc>
          <w:tcPr>
            <w:tcW w:w="284" w:type="dxa"/>
            <w:shd w:val="clear" w:color="auto" w:fill="A6A6A6" w:themeFill="background1" w:themeFillShade="A6"/>
          </w:tcPr>
          <w:p w14:paraId="2CC91253"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38D0D1F8"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2022</w:t>
            </w:r>
          </w:p>
        </w:tc>
        <w:tc>
          <w:tcPr>
            <w:tcW w:w="1276" w:type="dxa"/>
          </w:tcPr>
          <w:p w14:paraId="3E13EC70"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1276" w:type="dxa"/>
          </w:tcPr>
          <w:p w14:paraId="1D625A42"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r>
      <w:tr w:rsidR="006D2651" w:rsidRPr="006D2651" w14:paraId="7AAF6DB2" w14:textId="77777777" w:rsidTr="006D2651">
        <w:tc>
          <w:tcPr>
            <w:tcW w:w="1124" w:type="dxa"/>
          </w:tcPr>
          <w:p w14:paraId="23E5DC1B"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2019</w:t>
            </w:r>
          </w:p>
        </w:tc>
        <w:tc>
          <w:tcPr>
            <w:tcW w:w="1139" w:type="dxa"/>
            <w:vAlign w:val="center"/>
          </w:tcPr>
          <w:p w14:paraId="4439B0A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1353.50 </w:t>
            </w:r>
          </w:p>
        </w:tc>
        <w:tc>
          <w:tcPr>
            <w:tcW w:w="1276" w:type="dxa"/>
          </w:tcPr>
          <w:p w14:paraId="743BD7E1"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284" w:type="dxa"/>
            <w:shd w:val="clear" w:color="auto" w:fill="A6A6A6" w:themeFill="background1" w:themeFillShade="A6"/>
          </w:tcPr>
          <w:p w14:paraId="36D5B652"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3FC02AB3"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2023</w:t>
            </w:r>
          </w:p>
        </w:tc>
        <w:tc>
          <w:tcPr>
            <w:tcW w:w="1276" w:type="dxa"/>
          </w:tcPr>
          <w:p w14:paraId="4A32F6BC"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1276" w:type="dxa"/>
          </w:tcPr>
          <w:p w14:paraId="20305EB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r>
      <w:tr w:rsidR="006D2651" w:rsidRPr="006D2651" w14:paraId="393B1F90" w14:textId="77777777" w:rsidTr="006D2651">
        <w:tc>
          <w:tcPr>
            <w:tcW w:w="1124" w:type="dxa"/>
          </w:tcPr>
          <w:p w14:paraId="37103B3A"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2020</w:t>
            </w:r>
          </w:p>
        </w:tc>
        <w:tc>
          <w:tcPr>
            <w:tcW w:w="1139" w:type="dxa"/>
          </w:tcPr>
          <w:p w14:paraId="04BCF9C3"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1276" w:type="dxa"/>
          </w:tcPr>
          <w:p w14:paraId="60C67193"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284" w:type="dxa"/>
            <w:shd w:val="clear" w:color="auto" w:fill="A6A6A6" w:themeFill="background1" w:themeFillShade="A6"/>
          </w:tcPr>
          <w:p w14:paraId="37FFF609"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718E84B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2024</w:t>
            </w:r>
          </w:p>
        </w:tc>
        <w:tc>
          <w:tcPr>
            <w:tcW w:w="1276" w:type="dxa"/>
          </w:tcPr>
          <w:p w14:paraId="03876630"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1276" w:type="dxa"/>
          </w:tcPr>
          <w:p w14:paraId="7C67E7F8"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r>
      <w:tr w:rsidR="006D2651" w:rsidRPr="006D2651" w14:paraId="6B4E4385" w14:textId="77777777" w:rsidTr="006D2651">
        <w:tc>
          <w:tcPr>
            <w:tcW w:w="1124" w:type="dxa"/>
          </w:tcPr>
          <w:p w14:paraId="2C36A491"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2021</w:t>
            </w:r>
          </w:p>
        </w:tc>
        <w:tc>
          <w:tcPr>
            <w:tcW w:w="1139" w:type="dxa"/>
          </w:tcPr>
          <w:p w14:paraId="47540C91"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1276" w:type="dxa"/>
          </w:tcPr>
          <w:p w14:paraId="7E72F1DC"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1353.50</w:t>
            </w:r>
          </w:p>
        </w:tc>
        <w:tc>
          <w:tcPr>
            <w:tcW w:w="284" w:type="dxa"/>
            <w:shd w:val="clear" w:color="auto" w:fill="A6A6A6" w:themeFill="background1" w:themeFillShade="A6"/>
          </w:tcPr>
          <w:p w14:paraId="1AB5874D"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41144A8C" w14:textId="77777777" w:rsidR="006D2651" w:rsidRPr="006D2651" w:rsidRDefault="006D2651" w:rsidP="006D2651">
            <w:pPr>
              <w:spacing w:after="80"/>
              <w:jc w:val="both"/>
              <w:rPr>
                <w:rFonts w:ascii="Times New Roman" w:hAnsi="Times New Roman"/>
                <w:sz w:val="20"/>
                <w:szCs w:val="20"/>
              </w:rPr>
            </w:pPr>
          </w:p>
        </w:tc>
        <w:tc>
          <w:tcPr>
            <w:tcW w:w="1276" w:type="dxa"/>
          </w:tcPr>
          <w:p w14:paraId="427CB1D4" w14:textId="77777777" w:rsidR="006D2651" w:rsidRPr="006D2651" w:rsidRDefault="006D2651" w:rsidP="006D2651">
            <w:pPr>
              <w:spacing w:after="80"/>
              <w:jc w:val="both"/>
              <w:rPr>
                <w:rFonts w:ascii="Times New Roman" w:hAnsi="Times New Roman"/>
                <w:sz w:val="20"/>
                <w:szCs w:val="20"/>
              </w:rPr>
            </w:pPr>
          </w:p>
        </w:tc>
        <w:tc>
          <w:tcPr>
            <w:tcW w:w="1276" w:type="dxa"/>
          </w:tcPr>
          <w:p w14:paraId="44BEEB1B" w14:textId="77777777" w:rsidR="006D2651" w:rsidRPr="006D2651" w:rsidRDefault="006D2651" w:rsidP="006D2651">
            <w:pPr>
              <w:spacing w:after="80"/>
              <w:jc w:val="both"/>
              <w:rPr>
                <w:rFonts w:ascii="Times New Roman" w:hAnsi="Times New Roman"/>
                <w:sz w:val="20"/>
                <w:szCs w:val="20"/>
              </w:rPr>
            </w:pPr>
          </w:p>
        </w:tc>
      </w:tr>
    </w:tbl>
    <w:p w14:paraId="348147EB" w14:textId="7777777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The pipeline tariff rate from the 1</w:t>
      </w:r>
      <w:r w:rsidRPr="006D2651">
        <w:rPr>
          <w:rFonts w:ascii="Times New Roman" w:hAnsi="Times New Roman"/>
          <w:sz w:val="20"/>
          <w:szCs w:val="20"/>
          <w:vertAlign w:val="superscript"/>
        </w:rPr>
        <w:t>st</w:t>
      </w:r>
      <w:r w:rsidRPr="006D2651">
        <w:rPr>
          <w:rFonts w:ascii="Times New Roman" w:hAnsi="Times New Roman"/>
          <w:sz w:val="20"/>
          <w:szCs w:val="20"/>
        </w:rPr>
        <w:t xml:space="preserve"> day of the month following the date of publication of these regulations in the Official Gazette shall be calculated with an escalation of 17 per cent on the tariff as per railway rate circular 2018 as above.</w:t>
      </w:r>
    </w:p>
    <w:p w14:paraId="5EB0CCEC" w14:textId="7777777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Therefore, the tariff from the date these regulations come into force till 31.03.2025 shall be calculated as</w:t>
      </w:r>
      <m:oMath>
        <m:r>
          <w:rPr>
            <w:rFonts w:ascii="Cambria Math" w:hAnsi="Cambria Math"/>
            <w:sz w:val="20"/>
            <w:szCs w:val="20"/>
          </w:rPr>
          <m:t xml:space="preserve"> </m:t>
        </m:r>
        <m:r>
          <m:rPr>
            <m:sty m:val="p"/>
          </m:rPr>
          <w:rPr>
            <w:rFonts w:ascii="Cambria Math" w:hAnsi="Cambria Math"/>
            <w:sz w:val="20"/>
            <w:szCs w:val="20"/>
          </w:rPr>
          <m:t>₹</m:t>
        </m:r>
        <m:r>
          <w:rPr>
            <w:rFonts w:ascii="Cambria Math" w:hAnsi="Cambria Math"/>
            <w:sz w:val="20"/>
            <w:szCs w:val="20"/>
          </w:rPr>
          <m:t xml:space="preserve"> </m:t>
        </m:r>
        <m:r>
          <m:rPr>
            <m:sty m:val="p"/>
          </m:rPr>
          <w:rPr>
            <w:rFonts w:ascii="Cambria Math" w:hAnsi="Cambria Math"/>
            <w:sz w:val="20"/>
            <w:szCs w:val="20"/>
          </w:rPr>
          <m:t>1,353.50×(1+17%)</m:t>
        </m:r>
      </m:oMath>
      <w:r w:rsidRPr="006D2651">
        <w:rPr>
          <w:rFonts w:ascii="Times New Roman" w:hAnsi="Times New Roman"/>
          <w:sz w:val="20"/>
          <w:szCs w:val="20"/>
        </w:rPr>
        <w:t xml:space="preserve"> which shall work out to ₹ 1583.60/MT. Subsequently, escalation is 3.4% </w:t>
      </w:r>
      <w:proofErr w:type="spellStart"/>
      <w:r w:rsidRPr="006D2651">
        <w:rPr>
          <w:rFonts w:ascii="Times New Roman" w:hAnsi="Times New Roman"/>
          <w:sz w:val="20"/>
          <w:szCs w:val="20"/>
        </w:rPr>
        <w:t>w.e.f</w:t>
      </w:r>
      <w:proofErr w:type="spellEnd"/>
      <w:r w:rsidRPr="006D2651">
        <w:rPr>
          <w:rFonts w:ascii="Times New Roman" w:hAnsi="Times New Roman"/>
          <w:sz w:val="20"/>
          <w:szCs w:val="20"/>
        </w:rPr>
        <w:t xml:space="preserve"> 1</w:t>
      </w:r>
      <w:r w:rsidRPr="006D2651">
        <w:rPr>
          <w:rFonts w:ascii="Times New Roman" w:hAnsi="Times New Roman"/>
          <w:sz w:val="20"/>
          <w:szCs w:val="20"/>
          <w:vertAlign w:val="superscript"/>
        </w:rPr>
        <w:t>st</w:t>
      </w:r>
      <w:r w:rsidRPr="006D2651">
        <w:rPr>
          <w:rFonts w:ascii="Times New Roman" w:hAnsi="Times New Roman"/>
          <w:sz w:val="20"/>
          <w:szCs w:val="20"/>
        </w:rPr>
        <w:t xml:space="preserve"> April 2025 for 2025-26.  Thereafter, an escalation to be considered on the basis of CAGR of the WPI to be applied on rolling basis in case of any change is (+/-) 0.5 as mentioned in Schedule-A.  For instance, the tariff for following years with an escalation factor assuming same as 3.4 per cent year on year</w:t>
      </w:r>
      <w:r w:rsidRPr="006D2651" w:rsidDel="005346BA">
        <w:rPr>
          <w:rFonts w:ascii="Times New Roman" w:hAnsi="Times New Roman"/>
          <w:sz w:val="20"/>
          <w:szCs w:val="20"/>
        </w:rPr>
        <w:t xml:space="preserve"> </w:t>
      </w:r>
      <w:r w:rsidRPr="006D2651">
        <w:rPr>
          <w:rFonts w:ascii="Times New Roman" w:hAnsi="Times New Roman"/>
          <w:sz w:val="20"/>
          <w:szCs w:val="20"/>
        </w:rPr>
        <w:t>shall be as under:</w:t>
      </w:r>
    </w:p>
    <w:p w14:paraId="3FB26FAC" w14:textId="77777777" w:rsidR="006D2651" w:rsidRPr="00130B24" w:rsidRDefault="006D2651" w:rsidP="006D2651">
      <w:pPr>
        <w:spacing w:before="200"/>
        <w:jc w:val="both"/>
        <w:rPr>
          <w:rFonts w:ascii="Times New Roman" w:hAnsi="Times New Roman"/>
          <w:sz w:val="2"/>
          <w:szCs w:val="2"/>
        </w:rPr>
      </w:pPr>
    </w:p>
    <w:tbl>
      <w:tblPr>
        <w:tblStyle w:val="TableGrid"/>
        <w:tblW w:w="0" w:type="auto"/>
        <w:tblLayout w:type="fixed"/>
        <w:tblLook w:val="04A0" w:firstRow="1" w:lastRow="0" w:firstColumn="1" w:lastColumn="0" w:noHBand="0" w:noVBand="1"/>
      </w:tblPr>
      <w:tblGrid>
        <w:gridCol w:w="1129"/>
        <w:gridCol w:w="2127"/>
        <w:gridCol w:w="1559"/>
        <w:gridCol w:w="1701"/>
        <w:gridCol w:w="1449"/>
        <w:gridCol w:w="1385"/>
      </w:tblGrid>
      <w:tr w:rsidR="006D2651" w:rsidRPr="006D2651" w14:paraId="658AEFD0" w14:textId="77777777" w:rsidTr="006D2651">
        <w:trPr>
          <w:trHeight w:val="416"/>
        </w:trPr>
        <w:tc>
          <w:tcPr>
            <w:tcW w:w="1129" w:type="dxa"/>
          </w:tcPr>
          <w:p w14:paraId="3B72EF94" w14:textId="77777777" w:rsidR="006D2651" w:rsidRPr="006D2651" w:rsidRDefault="006D2651" w:rsidP="006D2651">
            <w:pPr>
              <w:spacing w:after="0"/>
              <w:jc w:val="both"/>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Year</w:t>
            </w:r>
          </w:p>
        </w:tc>
        <w:tc>
          <w:tcPr>
            <w:tcW w:w="2127" w:type="dxa"/>
          </w:tcPr>
          <w:p w14:paraId="435DCF4A"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Till 31.3.2025(*)</w:t>
            </w:r>
          </w:p>
        </w:tc>
        <w:tc>
          <w:tcPr>
            <w:tcW w:w="1559" w:type="dxa"/>
          </w:tcPr>
          <w:p w14:paraId="00E63183"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2025-26</w:t>
            </w:r>
          </w:p>
        </w:tc>
        <w:tc>
          <w:tcPr>
            <w:tcW w:w="1701" w:type="dxa"/>
          </w:tcPr>
          <w:p w14:paraId="1A062A16"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2026-27</w:t>
            </w:r>
          </w:p>
        </w:tc>
        <w:tc>
          <w:tcPr>
            <w:tcW w:w="1449" w:type="dxa"/>
          </w:tcPr>
          <w:p w14:paraId="79894A02"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2027-28</w:t>
            </w:r>
          </w:p>
        </w:tc>
        <w:tc>
          <w:tcPr>
            <w:tcW w:w="1385" w:type="dxa"/>
          </w:tcPr>
          <w:p w14:paraId="22E92707" w14:textId="77777777" w:rsidR="006D2651" w:rsidRPr="006D2651" w:rsidRDefault="006D2651" w:rsidP="006D2651">
            <w:pPr>
              <w:spacing w:after="0"/>
              <w:rPr>
                <w:rFonts w:ascii="Times New Roman" w:eastAsiaTheme="minorEastAsia" w:hAnsi="Times New Roman"/>
                <w:b/>
                <w:bCs/>
                <w:sz w:val="20"/>
                <w:szCs w:val="20"/>
              </w:rPr>
            </w:pPr>
            <w:r w:rsidRPr="006D2651">
              <w:rPr>
                <w:rFonts w:ascii="Times New Roman" w:eastAsiaTheme="minorEastAsia" w:hAnsi="Times New Roman"/>
                <w:b/>
                <w:bCs/>
                <w:sz w:val="20"/>
                <w:szCs w:val="20"/>
              </w:rPr>
              <w:t>FY 2028-29</w:t>
            </w:r>
          </w:p>
        </w:tc>
      </w:tr>
      <w:tr w:rsidR="006D2651" w:rsidRPr="006D2651" w14:paraId="204CFAB7" w14:textId="77777777" w:rsidTr="006D2651">
        <w:trPr>
          <w:trHeight w:val="569"/>
        </w:trPr>
        <w:tc>
          <w:tcPr>
            <w:tcW w:w="1129" w:type="dxa"/>
          </w:tcPr>
          <w:p w14:paraId="1E1EE837" w14:textId="77777777" w:rsidR="006D2651" w:rsidRPr="006D2651" w:rsidRDefault="006D2651" w:rsidP="006D2651">
            <w:pPr>
              <w:spacing w:after="0"/>
              <w:jc w:val="both"/>
              <w:rPr>
                <w:rFonts w:ascii="Times New Roman" w:eastAsiaTheme="minorEastAsia" w:hAnsi="Times New Roman"/>
                <w:sz w:val="20"/>
                <w:szCs w:val="20"/>
              </w:rPr>
            </w:pPr>
            <w:r w:rsidRPr="006D2651">
              <w:rPr>
                <w:rFonts w:ascii="Times New Roman" w:eastAsia="Times New Roman" w:hAnsi="Times New Roman"/>
                <w:b/>
                <w:bCs/>
                <w:sz w:val="20"/>
                <w:szCs w:val="20"/>
                <w:lang w:val="en-GB" w:eastAsia="en-GB"/>
              </w:rPr>
              <w:t>Pipeline Tariff (₹/MT)</w:t>
            </w:r>
          </w:p>
        </w:tc>
        <w:tc>
          <w:tcPr>
            <w:tcW w:w="2127" w:type="dxa"/>
          </w:tcPr>
          <w:p w14:paraId="22BF3DCE"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hAnsi="Times New Roman"/>
                <w:sz w:val="20"/>
                <w:szCs w:val="20"/>
              </w:rPr>
              <w:t>1583.60</w:t>
            </w:r>
          </w:p>
        </w:tc>
        <w:tc>
          <w:tcPr>
            <w:tcW w:w="1559" w:type="dxa"/>
          </w:tcPr>
          <w:p w14:paraId="1DB2C7AD"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1637.44</w:t>
            </w:r>
          </w:p>
        </w:tc>
        <w:tc>
          <w:tcPr>
            <w:tcW w:w="1701" w:type="dxa"/>
          </w:tcPr>
          <w:p w14:paraId="6EA30865"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1693.11</w:t>
            </w:r>
          </w:p>
        </w:tc>
        <w:tc>
          <w:tcPr>
            <w:tcW w:w="1449" w:type="dxa"/>
          </w:tcPr>
          <w:p w14:paraId="7F85EEA4"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1750.68</w:t>
            </w:r>
          </w:p>
        </w:tc>
        <w:tc>
          <w:tcPr>
            <w:tcW w:w="1385" w:type="dxa"/>
          </w:tcPr>
          <w:p w14:paraId="502115C5"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1810.20</w:t>
            </w:r>
          </w:p>
        </w:tc>
      </w:tr>
    </w:tbl>
    <w:p w14:paraId="443AF148" w14:textId="77777777" w:rsidR="006D2651" w:rsidRPr="006D2651" w:rsidRDefault="006D2651" w:rsidP="006D2651">
      <w:pPr>
        <w:spacing w:before="200"/>
        <w:jc w:val="both"/>
        <w:rPr>
          <w:rFonts w:ascii="Times New Roman" w:eastAsiaTheme="minorEastAsia" w:hAnsi="Times New Roman"/>
          <w:b/>
          <w:bCs/>
          <w:sz w:val="20"/>
          <w:szCs w:val="20"/>
        </w:rPr>
      </w:pPr>
      <w:r w:rsidRPr="006D2651">
        <w:rPr>
          <w:rFonts w:ascii="Times New Roman" w:eastAsiaTheme="minorEastAsia" w:hAnsi="Times New Roman"/>
          <w:b/>
          <w:bCs/>
          <w:sz w:val="20"/>
          <w:szCs w:val="20"/>
        </w:rPr>
        <w:t>*</w:t>
      </w:r>
      <w:r w:rsidRPr="006D2651">
        <w:rPr>
          <w:rFonts w:ascii="Times New Roman" w:hAnsi="Times New Roman"/>
          <w:sz w:val="20"/>
          <w:szCs w:val="20"/>
        </w:rPr>
        <w:t>from the date these regulations come into force till 31.03.2025</w:t>
      </w:r>
    </w:p>
    <w:p w14:paraId="244736D7" w14:textId="77777777" w:rsidR="006D2651" w:rsidRPr="006D2651" w:rsidRDefault="006D2651" w:rsidP="006D2651">
      <w:pPr>
        <w:spacing w:before="200"/>
        <w:jc w:val="both"/>
        <w:rPr>
          <w:rFonts w:ascii="Times New Roman" w:eastAsiaTheme="minorEastAsia" w:hAnsi="Times New Roman"/>
          <w:b/>
          <w:bCs/>
          <w:sz w:val="20"/>
          <w:szCs w:val="20"/>
        </w:rPr>
      </w:pPr>
      <w:r w:rsidRPr="006D2651">
        <w:rPr>
          <w:rFonts w:ascii="Times New Roman" w:eastAsiaTheme="minorEastAsia" w:hAnsi="Times New Roman"/>
          <w:b/>
          <w:bCs/>
          <w:sz w:val="20"/>
          <w:szCs w:val="20"/>
        </w:rPr>
        <w:t>Illustration-2 for POL pipeline</w:t>
      </w:r>
    </w:p>
    <w:p w14:paraId="092B30B8" w14:textId="77777777" w:rsidR="00C34994" w:rsidRDefault="006D2651" w:rsidP="006D2651">
      <w:pPr>
        <w:spacing w:before="200"/>
        <w:jc w:val="both"/>
        <w:rPr>
          <w:rFonts w:ascii="Times New Roman" w:hAnsi="Times New Roman"/>
          <w:sz w:val="20"/>
          <w:szCs w:val="20"/>
        </w:rPr>
      </w:pPr>
      <w:r w:rsidRPr="006D2651">
        <w:rPr>
          <w:rFonts w:ascii="Times New Roman" w:hAnsi="Times New Roman"/>
          <w:sz w:val="20"/>
          <w:szCs w:val="20"/>
        </w:rPr>
        <w:lastRenderedPageBreak/>
        <w:t xml:space="preserve">A pipeline with equivalent rail distance of 770 km transporting MS/HSD is assumed to have an injection point at A and multiple tap-off points (TOP) at B, C and D. Product flow is assumed only from injection at A to TOP B which </w:t>
      </w:r>
    </w:p>
    <w:p w14:paraId="0AAEFD6C" w14:textId="77777777" w:rsidR="00C34994" w:rsidRDefault="00C34994" w:rsidP="006D2651">
      <w:pPr>
        <w:spacing w:before="200"/>
        <w:jc w:val="both"/>
        <w:rPr>
          <w:rFonts w:ascii="Times New Roman" w:hAnsi="Times New Roman"/>
          <w:sz w:val="20"/>
          <w:szCs w:val="20"/>
        </w:rPr>
      </w:pPr>
    </w:p>
    <w:p w14:paraId="671304FF" w14:textId="77777777" w:rsidR="00C34994" w:rsidRDefault="00C34994" w:rsidP="006D2651">
      <w:pPr>
        <w:spacing w:before="200"/>
        <w:jc w:val="both"/>
        <w:rPr>
          <w:rFonts w:ascii="Times New Roman" w:hAnsi="Times New Roman"/>
          <w:sz w:val="20"/>
          <w:szCs w:val="20"/>
        </w:rPr>
      </w:pPr>
    </w:p>
    <w:p w14:paraId="5B0FAE38" w14:textId="005F6785"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 xml:space="preserve">is at a distance of 770 km. The pipeline has been commissioned before the notification of the Petroleum and Natural Gas Regulatory Board (Determination of Petroleum and Petroleum Products Pipeline Transportation Tariff) Regulations, 2010. </w:t>
      </w:r>
    </w:p>
    <w:p w14:paraId="039B8B90" w14:textId="7777777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Petroleum products pipeline transportation tariffs for such pipelines till the date on which these regulations come into force are determined through benchmarking against basic notional railway freight on train load basis for equivalent rail distance along pipeline route. For petroleum products (MS, HSD, &amp; ATF etc.) pipeline tariff is benchmarked at 75 per cent of basic notional railway freight under class 180A.</w:t>
      </w:r>
    </w:p>
    <w:p w14:paraId="0145D867" w14:textId="36018DCC"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 xml:space="preserve">As per the railway freight circular No. 19 of 2018, TCR/1078/2018/15 dated 03.10.2018, the freight rate under class 180A for 770 km </w:t>
      </w:r>
      <w:r w:rsidR="0099442F" w:rsidRPr="006D2651">
        <w:rPr>
          <w:rFonts w:ascii="Times New Roman" w:hAnsi="Times New Roman"/>
          <w:sz w:val="20"/>
          <w:szCs w:val="20"/>
        </w:rPr>
        <w:t xml:space="preserve">is </w:t>
      </w:r>
      <w:r w:rsidR="00132350" w:rsidRPr="00132350">
        <w:rPr>
          <w:rFonts w:ascii="Times New Roman" w:eastAsia="Times New Roman" w:hAnsi="Times New Roman"/>
          <w:sz w:val="20"/>
          <w:szCs w:val="20"/>
          <w:lang w:val="en-GB" w:eastAsia="en-GB"/>
        </w:rPr>
        <w:t>₹</w:t>
      </w:r>
      <w:r w:rsidR="0099442F" w:rsidRPr="006D2651">
        <w:rPr>
          <w:rFonts w:ascii="Times New Roman" w:hAnsi="Times New Roman"/>
          <w:sz w:val="20"/>
          <w:szCs w:val="20"/>
        </w:rPr>
        <w:t>1,357.70</w:t>
      </w:r>
      <w:r w:rsidRPr="006D2651">
        <w:rPr>
          <w:rFonts w:ascii="Times New Roman" w:hAnsi="Times New Roman"/>
          <w:sz w:val="20"/>
          <w:szCs w:val="20"/>
        </w:rPr>
        <w:t>/MT.</w:t>
      </w:r>
    </w:p>
    <w:p w14:paraId="6F8B86A9" w14:textId="77777777" w:rsidR="006D2651" w:rsidRPr="006D2651" w:rsidRDefault="006D2651" w:rsidP="006D2651">
      <w:pPr>
        <w:jc w:val="both"/>
        <w:rPr>
          <w:rFonts w:ascii="Times New Roman" w:hAnsi="Times New Roman"/>
          <w:sz w:val="20"/>
          <w:szCs w:val="20"/>
        </w:rPr>
      </w:pPr>
      <w:r w:rsidRPr="006D2651">
        <w:rPr>
          <w:rFonts w:ascii="Times New Roman" w:hAnsi="Times New Roman"/>
          <w:sz w:val="20"/>
          <w:szCs w:val="20"/>
        </w:rPr>
        <w:t>The existing pipeline tariff rates from FY 2018 to FY 2024 are as follows:</w:t>
      </w:r>
    </w:p>
    <w:tbl>
      <w:tblPr>
        <w:tblStyle w:val="TableGrid"/>
        <w:tblW w:w="0" w:type="auto"/>
        <w:tblInd w:w="853" w:type="dxa"/>
        <w:tblLayout w:type="fixed"/>
        <w:tblLook w:val="04A0" w:firstRow="1" w:lastRow="0" w:firstColumn="1" w:lastColumn="0" w:noHBand="0" w:noVBand="1"/>
      </w:tblPr>
      <w:tblGrid>
        <w:gridCol w:w="1124"/>
        <w:gridCol w:w="1139"/>
        <w:gridCol w:w="1276"/>
        <w:gridCol w:w="284"/>
        <w:gridCol w:w="1257"/>
        <w:gridCol w:w="1276"/>
        <w:gridCol w:w="1276"/>
      </w:tblGrid>
      <w:tr w:rsidR="006D2651" w:rsidRPr="006D2651" w14:paraId="795E0723" w14:textId="77777777" w:rsidTr="006D2651">
        <w:tc>
          <w:tcPr>
            <w:tcW w:w="1124" w:type="dxa"/>
          </w:tcPr>
          <w:p w14:paraId="56B9F7C8"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Year</w:t>
            </w:r>
          </w:p>
        </w:tc>
        <w:tc>
          <w:tcPr>
            <w:tcW w:w="1139" w:type="dxa"/>
            <w:vAlign w:val="center"/>
          </w:tcPr>
          <w:p w14:paraId="376398BC" w14:textId="77777777" w:rsidR="006D2651" w:rsidRPr="006D2651" w:rsidRDefault="006D2651" w:rsidP="006D2651">
            <w:pPr>
              <w:jc w:val="center"/>
              <w:rPr>
                <w:rFonts w:ascii="Times New Roman" w:hAnsi="Times New Roman"/>
                <w:b/>
                <w:bCs/>
                <w:sz w:val="20"/>
                <w:szCs w:val="20"/>
              </w:rPr>
            </w:pPr>
            <w:r w:rsidRPr="006D2651">
              <w:rPr>
                <w:rFonts w:ascii="Times New Roman" w:eastAsia="Times New Roman" w:hAnsi="Times New Roman"/>
                <w:b/>
                <w:bCs/>
                <w:sz w:val="20"/>
                <w:szCs w:val="20"/>
                <w:lang w:val="en-GB" w:eastAsia="en-GB"/>
              </w:rPr>
              <w:t>Railway Freight (₹/MT)</w:t>
            </w:r>
          </w:p>
        </w:tc>
        <w:tc>
          <w:tcPr>
            <w:tcW w:w="1276" w:type="dxa"/>
          </w:tcPr>
          <w:p w14:paraId="02E73F6A"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Pipeline Tariff (₹/MT)</w:t>
            </w:r>
          </w:p>
        </w:tc>
        <w:tc>
          <w:tcPr>
            <w:tcW w:w="284" w:type="dxa"/>
            <w:shd w:val="clear" w:color="auto" w:fill="A6A6A6" w:themeFill="background1" w:themeFillShade="A6"/>
          </w:tcPr>
          <w:p w14:paraId="7C78742F" w14:textId="77777777" w:rsidR="006D2651" w:rsidRPr="006D2651" w:rsidRDefault="006D2651" w:rsidP="006D2651">
            <w:pPr>
              <w:jc w:val="both"/>
              <w:rPr>
                <w:rFonts w:ascii="Times New Roman" w:eastAsia="Times New Roman" w:hAnsi="Times New Roman"/>
                <w:b/>
                <w:bCs/>
                <w:sz w:val="20"/>
                <w:szCs w:val="20"/>
                <w:highlight w:val="lightGray"/>
                <w:lang w:val="en-GB" w:eastAsia="en-GB"/>
              </w:rPr>
            </w:pPr>
          </w:p>
        </w:tc>
        <w:tc>
          <w:tcPr>
            <w:tcW w:w="1257" w:type="dxa"/>
          </w:tcPr>
          <w:p w14:paraId="340E3580"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hAnsi="Times New Roman"/>
                <w:b/>
                <w:bCs/>
                <w:sz w:val="20"/>
                <w:szCs w:val="20"/>
              </w:rPr>
              <w:t>Year</w:t>
            </w:r>
          </w:p>
        </w:tc>
        <w:tc>
          <w:tcPr>
            <w:tcW w:w="1276" w:type="dxa"/>
          </w:tcPr>
          <w:p w14:paraId="202734D0"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Railway Freight (₹/MT)</w:t>
            </w:r>
          </w:p>
        </w:tc>
        <w:tc>
          <w:tcPr>
            <w:tcW w:w="1276" w:type="dxa"/>
          </w:tcPr>
          <w:p w14:paraId="1B21C3B7" w14:textId="77777777" w:rsidR="006D2651" w:rsidRPr="006D2651" w:rsidRDefault="006D2651" w:rsidP="006D2651">
            <w:pPr>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Pipeline Tariff (₹/MT)</w:t>
            </w:r>
          </w:p>
        </w:tc>
      </w:tr>
      <w:tr w:rsidR="006D2651" w:rsidRPr="006D2651" w14:paraId="1886815A" w14:textId="77777777" w:rsidTr="006D2651">
        <w:tc>
          <w:tcPr>
            <w:tcW w:w="1124" w:type="dxa"/>
          </w:tcPr>
          <w:p w14:paraId="2744CAB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2019</w:t>
            </w:r>
          </w:p>
        </w:tc>
        <w:tc>
          <w:tcPr>
            <w:tcW w:w="1139" w:type="dxa"/>
          </w:tcPr>
          <w:p w14:paraId="1522ACC6"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6E4AE1EC"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c>
          <w:tcPr>
            <w:tcW w:w="284" w:type="dxa"/>
            <w:shd w:val="clear" w:color="auto" w:fill="A6A6A6" w:themeFill="background1" w:themeFillShade="A6"/>
          </w:tcPr>
          <w:p w14:paraId="49CA0B34"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671C9617"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2023</w:t>
            </w:r>
          </w:p>
        </w:tc>
        <w:tc>
          <w:tcPr>
            <w:tcW w:w="1276" w:type="dxa"/>
          </w:tcPr>
          <w:p w14:paraId="4EB6E624"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59A7E199"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r>
      <w:tr w:rsidR="006D2651" w:rsidRPr="006D2651" w14:paraId="110A5EA4" w14:textId="77777777" w:rsidTr="006D2651">
        <w:tc>
          <w:tcPr>
            <w:tcW w:w="1124" w:type="dxa"/>
          </w:tcPr>
          <w:p w14:paraId="7B1D1A35"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2020</w:t>
            </w:r>
          </w:p>
        </w:tc>
        <w:tc>
          <w:tcPr>
            <w:tcW w:w="1139" w:type="dxa"/>
          </w:tcPr>
          <w:p w14:paraId="26834C28"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160D5966"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c>
          <w:tcPr>
            <w:tcW w:w="284" w:type="dxa"/>
            <w:shd w:val="clear" w:color="auto" w:fill="A6A6A6" w:themeFill="background1" w:themeFillShade="A6"/>
          </w:tcPr>
          <w:p w14:paraId="192B60BE"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302B25D4"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2024</w:t>
            </w:r>
          </w:p>
        </w:tc>
        <w:tc>
          <w:tcPr>
            <w:tcW w:w="1276" w:type="dxa"/>
          </w:tcPr>
          <w:p w14:paraId="0256F077"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5C53AC6B"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r>
      <w:tr w:rsidR="006D2651" w:rsidRPr="006D2651" w14:paraId="482F757C" w14:textId="77777777" w:rsidTr="006D2651">
        <w:tc>
          <w:tcPr>
            <w:tcW w:w="1124" w:type="dxa"/>
          </w:tcPr>
          <w:p w14:paraId="55DD74EC"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2021</w:t>
            </w:r>
          </w:p>
        </w:tc>
        <w:tc>
          <w:tcPr>
            <w:tcW w:w="1139" w:type="dxa"/>
          </w:tcPr>
          <w:p w14:paraId="2BDB562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1885F163"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c>
          <w:tcPr>
            <w:tcW w:w="284" w:type="dxa"/>
            <w:shd w:val="clear" w:color="auto" w:fill="A6A6A6" w:themeFill="background1" w:themeFillShade="A6"/>
          </w:tcPr>
          <w:p w14:paraId="658A3229"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01B34EE0" w14:textId="77777777" w:rsidR="006D2651" w:rsidRPr="006D2651" w:rsidRDefault="006D2651" w:rsidP="006D2651">
            <w:pPr>
              <w:spacing w:after="80"/>
              <w:jc w:val="both"/>
              <w:rPr>
                <w:rFonts w:ascii="Times New Roman" w:hAnsi="Times New Roman"/>
                <w:sz w:val="20"/>
                <w:szCs w:val="20"/>
              </w:rPr>
            </w:pPr>
          </w:p>
        </w:tc>
        <w:tc>
          <w:tcPr>
            <w:tcW w:w="1276" w:type="dxa"/>
          </w:tcPr>
          <w:p w14:paraId="56E5A424" w14:textId="77777777" w:rsidR="006D2651" w:rsidRPr="006D2651" w:rsidRDefault="006D2651" w:rsidP="006D2651">
            <w:pPr>
              <w:spacing w:after="80"/>
              <w:jc w:val="both"/>
              <w:rPr>
                <w:rFonts w:ascii="Times New Roman" w:hAnsi="Times New Roman"/>
                <w:sz w:val="20"/>
                <w:szCs w:val="20"/>
              </w:rPr>
            </w:pPr>
          </w:p>
        </w:tc>
        <w:tc>
          <w:tcPr>
            <w:tcW w:w="1276" w:type="dxa"/>
          </w:tcPr>
          <w:p w14:paraId="42D6DED5" w14:textId="77777777" w:rsidR="006D2651" w:rsidRPr="006D2651" w:rsidRDefault="006D2651" w:rsidP="006D2651">
            <w:pPr>
              <w:spacing w:after="80"/>
              <w:jc w:val="both"/>
              <w:rPr>
                <w:rFonts w:ascii="Times New Roman" w:hAnsi="Times New Roman"/>
                <w:sz w:val="20"/>
                <w:szCs w:val="20"/>
              </w:rPr>
            </w:pPr>
          </w:p>
        </w:tc>
      </w:tr>
      <w:tr w:rsidR="006D2651" w:rsidRPr="006D2651" w14:paraId="5CC9D6FC" w14:textId="77777777" w:rsidTr="006D2651">
        <w:tc>
          <w:tcPr>
            <w:tcW w:w="1124" w:type="dxa"/>
          </w:tcPr>
          <w:p w14:paraId="5FBAE34C"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FY 2022</w:t>
            </w:r>
          </w:p>
        </w:tc>
        <w:tc>
          <w:tcPr>
            <w:tcW w:w="1139" w:type="dxa"/>
          </w:tcPr>
          <w:p w14:paraId="1FAEBEDE"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 xml:space="preserve">1357.70 </w:t>
            </w:r>
          </w:p>
        </w:tc>
        <w:tc>
          <w:tcPr>
            <w:tcW w:w="1276" w:type="dxa"/>
          </w:tcPr>
          <w:p w14:paraId="0DDCFF7A" w14:textId="77777777" w:rsidR="006D2651" w:rsidRPr="006D2651" w:rsidRDefault="006D2651" w:rsidP="006D2651">
            <w:pPr>
              <w:spacing w:after="80"/>
              <w:jc w:val="both"/>
              <w:rPr>
                <w:rFonts w:ascii="Times New Roman" w:hAnsi="Times New Roman"/>
                <w:sz w:val="20"/>
                <w:szCs w:val="20"/>
              </w:rPr>
            </w:pPr>
            <w:r w:rsidRPr="006D2651">
              <w:rPr>
                <w:rFonts w:ascii="Times New Roman" w:hAnsi="Times New Roman"/>
                <w:sz w:val="20"/>
                <w:szCs w:val="20"/>
              </w:rPr>
              <w:t>1018.28</w:t>
            </w:r>
          </w:p>
        </w:tc>
        <w:tc>
          <w:tcPr>
            <w:tcW w:w="284" w:type="dxa"/>
            <w:shd w:val="clear" w:color="auto" w:fill="A6A6A6" w:themeFill="background1" w:themeFillShade="A6"/>
          </w:tcPr>
          <w:p w14:paraId="7241A0F7" w14:textId="77777777" w:rsidR="006D2651" w:rsidRPr="006D2651" w:rsidRDefault="006D2651" w:rsidP="006D2651">
            <w:pPr>
              <w:spacing w:after="80"/>
              <w:jc w:val="both"/>
              <w:rPr>
                <w:rFonts w:ascii="Times New Roman" w:hAnsi="Times New Roman"/>
                <w:sz w:val="20"/>
                <w:szCs w:val="20"/>
                <w:highlight w:val="lightGray"/>
              </w:rPr>
            </w:pPr>
          </w:p>
        </w:tc>
        <w:tc>
          <w:tcPr>
            <w:tcW w:w="1257" w:type="dxa"/>
          </w:tcPr>
          <w:p w14:paraId="5AC92608" w14:textId="77777777" w:rsidR="006D2651" w:rsidRPr="006D2651" w:rsidRDefault="006D2651" w:rsidP="006D2651">
            <w:pPr>
              <w:spacing w:after="80"/>
              <w:jc w:val="both"/>
              <w:rPr>
                <w:rFonts w:ascii="Times New Roman" w:hAnsi="Times New Roman"/>
                <w:sz w:val="20"/>
                <w:szCs w:val="20"/>
              </w:rPr>
            </w:pPr>
          </w:p>
        </w:tc>
        <w:tc>
          <w:tcPr>
            <w:tcW w:w="1276" w:type="dxa"/>
          </w:tcPr>
          <w:p w14:paraId="71C4D5F2" w14:textId="77777777" w:rsidR="006D2651" w:rsidRPr="006D2651" w:rsidRDefault="006D2651" w:rsidP="006D2651">
            <w:pPr>
              <w:spacing w:after="80"/>
              <w:jc w:val="both"/>
              <w:rPr>
                <w:rFonts w:ascii="Times New Roman" w:hAnsi="Times New Roman"/>
                <w:sz w:val="20"/>
                <w:szCs w:val="20"/>
              </w:rPr>
            </w:pPr>
          </w:p>
        </w:tc>
        <w:tc>
          <w:tcPr>
            <w:tcW w:w="1276" w:type="dxa"/>
          </w:tcPr>
          <w:p w14:paraId="2750AB56" w14:textId="77777777" w:rsidR="006D2651" w:rsidRPr="006D2651" w:rsidRDefault="006D2651" w:rsidP="006D2651">
            <w:pPr>
              <w:spacing w:after="80"/>
              <w:jc w:val="both"/>
              <w:rPr>
                <w:rFonts w:ascii="Times New Roman" w:hAnsi="Times New Roman"/>
                <w:sz w:val="20"/>
                <w:szCs w:val="20"/>
              </w:rPr>
            </w:pPr>
          </w:p>
        </w:tc>
      </w:tr>
    </w:tbl>
    <w:p w14:paraId="06F506D6" w14:textId="77777777" w:rsidR="00130B24" w:rsidRPr="00C34994" w:rsidRDefault="00130B24" w:rsidP="006D2651">
      <w:pPr>
        <w:spacing w:before="200"/>
        <w:jc w:val="both"/>
        <w:rPr>
          <w:rFonts w:ascii="Times New Roman" w:hAnsi="Times New Roman"/>
          <w:sz w:val="2"/>
          <w:szCs w:val="2"/>
        </w:rPr>
      </w:pPr>
    </w:p>
    <w:p w14:paraId="46496C18" w14:textId="19199EFD" w:rsidR="006D2651" w:rsidRPr="006D2651" w:rsidRDefault="006D2651" w:rsidP="006D2651">
      <w:pPr>
        <w:spacing w:before="200"/>
        <w:jc w:val="both"/>
        <w:rPr>
          <w:rFonts w:ascii="Times New Roman" w:hAnsi="Times New Roman"/>
          <w:b/>
          <w:bCs/>
          <w:i/>
          <w:iCs/>
          <w:color w:val="FF0000"/>
          <w:sz w:val="20"/>
          <w:szCs w:val="20"/>
        </w:rPr>
      </w:pPr>
      <w:r w:rsidRPr="006D2651">
        <w:rPr>
          <w:rFonts w:ascii="Times New Roman" w:hAnsi="Times New Roman"/>
          <w:sz w:val="20"/>
          <w:szCs w:val="20"/>
        </w:rPr>
        <w:t>The pipeline tariff rate from the 1</w:t>
      </w:r>
      <w:r w:rsidRPr="006D2651">
        <w:rPr>
          <w:rFonts w:ascii="Times New Roman" w:hAnsi="Times New Roman"/>
          <w:sz w:val="20"/>
          <w:szCs w:val="20"/>
          <w:vertAlign w:val="superscript"/>
        </w:rPr>
        <w:t>st</w:t>
      </w:r>
      <w:r w:rsidRPr="006D2651">
        <w:rPr>
          <w:rFonts w:ascii="Times New Roman" w:hAnsi="Times New Roman"/>
          <w:sz w:val="20"/>
          <w:szCs w:val="20"/>
        </w:rPr>
        <w:t xml:space="preserve"> day of the month following the date of publication of these regulations in the Official Gazette shall be calculated based on the escalation of 17 per cent on the tariff as per railway rate circular 2018. </w:t>
      </w:r>
    </w:p>
    <w:p w14:paraId="09C4B9CD" w14:textId="292D06D7" w:rsidR="006D2651" w:rsidRPr="006D2651" w:rsidRDefault="006D2651" w:rsidP="006D2651">
      <w:pPr>
        <w:spacing w:before="200"/>
        <w:jc w:val="both"/>
        <w:rPr>
          <w:rFonts w:ascii="Times New Roman" w:hAnsi="Times New Roman"/>
          <w:sz w:val="20"/>
          <w:szCs w:val="20"/>
        </w:rPr>
      </w:pPr>
      <w:r w:rsidRPr="006D2651">
        <w:rPr>
          <w:rFonts w:ascii="Times New Roman" w:hAnsi="Times New Roman"/>
          <w:sz w:val="20"/>
          <w:szCs w:val="20"/>
        </w:rPr>
        <w:t xml:space="preserve">Therefore, the tariff from effective date till 31.3.2025 shall be calculated </w:t>
      </w:r>
      <w:r w:rsidR="0099442F" w:rsidRPr="006D2651">
        <w:rPr>
          <w:rFonts w:ascii="Times New Roman" w:hAnsi="Times New Roman"/>
          <w:sz w:val="20"/>
          <w:szCs w:val="20"/>
        </w:rPr>
        <w:t xml:space="preserve">as </w:t>
      </w:r>
      <w:r w:rsidR="00132350" w:rsidRPr="00132350">
        <w:rPr>
          <w:rFonts w:ascii="Times New Roman" w:eastAsia="Times New Roman" w:hAnsi="Times New Roman"/>
          <w:sz w:val="20"/>
          <w:szCs w:val="20"/>
          <w:lang w:val="en-GB" w:eastAsia="en-GB"/>
        </w:rPr>
        <w:t>₹</w:t>
      </w:r>
      <w:r w:rsidR="0099442F" w:rsidRPr="006D2651">
        <w:rPr>
          <w:rFonts w:ascii="Times New Roman" w:hAnsi="Times New Roman"/>
          <w:sz w:val="20"/>
          <w:szCs w:val="20"/>
        </w:rPr>
        <w:t>1018.28</w:t>
      </w:r>
      <w:r w:rsidRPr="006D2651">
        <w:rPr>
          <w:rFonts w:ascii="Times New Roman" w:hAnsi="Times New Roman"/>
          <w:sz w:val="20"/>
          <w:szCs w:val="20"/>
        </w:rPr>
        <w:t xml:space="preserve"> x (1+17%)</w:t>
      </w:r>
      <w:r w:rsidRPr="006D2651">
        <w:rPr>
          <w:rFonts w:ascii="Times New Roman" w:hAnsi="Times New Roman"/>
          <w:sz w:val="20"/>
          <w:szCs w:val="20"/>
          <w:vertAlign w:val="superscript"/>
        </w:rPr>
        <w:t xml:space="preserve"> </w:t>
      </w:r>
      <w:r w:rsidRPr="006D2651">
        <w:rPr>
          <w:rFonts w:ascii="Times New Roman" w:hAnsi="Times New Roman"/>
          <w:sz w:val="20"/>
          <w:szCs w:val="20"/>
        </w:rPr>
        <w:t xml:space="preserve">which shall work out </w:t>
      </w:r>
      <w:r w:rsidR="0099442F" w:rsidRPr="006D2651">
        <w:rPr>
          <w:rFonts w:ascii="Times New Roman" w:hAnsi="Times New Roman"/>
          <w:sz w:val="20"/>
          <w:szCs w:val="20"/>
        </w:rPr>
        <w:t xml:space="preserve">to </w:t>
      </w:r>
      <w:r w:rsidR="00132350" w:rsidRPr="00132350">
        <w:rPr>
          <w:rFonts w:ascii="Times New Roman" w:eastAsia="Times New Roman" w:hAnsi="Times New Roman"/>
          <w:sz w:val="20"/>
          <w:szCs w:val="20"/>
          <w:lang w:val="en-GB" w:eastAsia="en-GB"/>
        </w:rPr>
        <w:t>₹</w:t>
      </w:r>
      <w:r w:rsidR="0099442F" w:rsidRPr="006D2651">
        <w:rPr>
          <w:rFonts w:ascii="Times New Roman" w:hAnsi="Times New Roman"/>
          <w:sz w:val="20"/>
          <w:szCs w:val="20"/>
        </w:rPr>
        <w:t>1191.39</w:t>
      </w:r>
      <w:r w:rsidRPr="006D2651">
        <w:rPr>
          <w:rFonts w:ascii="Times New Roman" w:hAnsi="Times New Roman"/>
          <w:sz w:val="20"/>
          <w:szCs w:val="20"/>
        </w:rPr>
        <w:t xml:space="preserve">/MT.  Subsequently, escalation is 3.4% </w:t>
      </w:r>
      <w:proofErr w:type="spellStart"/>
      <w:r w:rsidRPr="006D2651">
        <w:rPr>
          <w:rFonts w:ascii="Times New Roman" w:hAnsi="Times New Roman"/>
          <w:sz w:val="20"/>
          <w:szCs w:val="20"/>
        </w:rPr>
        <w:t>w.e.f</w:t>
      </w:r>
      <w:proofErr w:type="spellEnd"/>
      <w:r w:rsidRPr="006D2651">
        <w:rPr>
          <w:rFonts w:ascii="Times New Roman" w:hAnsi="Times New Roman"/>
          <w:sz w:val="20"/>
          <w:szCs w:val="20"/>
        </w:rPr>
        <w:t xml:space="preserve"> 1</w:t>
      </w:r>
      <w:r w:rsidRPr="006D2651">
        <w:rPr>
          <w:rFonts w:ascii="Times New Roman" w:hAnsi="Times New Roman"/>
          <w:sz w:val="20"/>
          <w:szCs w:val="20"/>
          <w:vertAlign w:val="superscript"/>
        </w:rPr>
        <w:t>st</w:t>
      </w:r>
      <w:r w:rsidRPr="006D2651">
        <w:rPr>
          <w:rFonts w:ascii="Times New Roman" w:hAnsi="Times New Roman"/>
          <w:sz w:val="20"/>
          <w:szCs w:val="20"/>
        </w:rPr>
        <w:t xml:space="preserve"> April 2025 for 2025-26.  Thereafter, an escalation to be considered on the basis of CAGR of the WPI to be applied on rolling basis in case of any change is (+/-) 0.5 as mentioned in Schedule-A.  For instance, the tariff for following years with an escalation factor assuming same as 3.4 per cent year on year</w:t>
      </w:r>
      <w:r w:rsidRPr="006D2651" w:rsidDel="005346BA">
        <w:rPr>
          <w:rFonts w:ascii="Times New Roman" w:hAnsi="Times New Roman"/>
          <w:sz w:val="20"/>
          <w:szCs w:val="20"/>
        </w:rPr>
        <w:t xml:space="preserve"> </w:t>
      </w:r>
      <w:r w:rsidRPr="006D2651">
        <w:rPr>
          <w:rFonts w:ascii="Times New Roman" w:hAnsi="Times New Roman"/>
          <w:sz w:val="20"/>
          <w:szCs w:val="20"/>
        </w:rPr>
        <w:t>shall be as under:</w:t>
      </w:r>
    </w:p>
    <w:tbl>
      <w:tblPr>
        <w:tblStyle w:val="TableGrid"/>
        <w:tblW w:w="9746" w:type="dxa"/>
        <w:tblLook w:val="04A0" w:firstRow="1" w:lastRow="0" w:firstColumn="1" w:lastColumn="0" w:noHBand="0" w:noVBand="1"/>
      </w:tblPr>
      <w:tblGrid>
        <w:gridCol w:w="1629"/>
        <w:gridCol w:w="1978"/>
        <w:gridCol w:w="1516"/>
        <w:gridCol w:w="1516"/>
        <w:gridCol w:w="1667"/>
        <w:gridCol w:w="1440"/>
      </w:tblGrid>
      <w:tr w:rsidR="006D2651" w:rsidRPr="006D2651" w14:paraId="029FF29B" w14:textId="77777777" w:rsidTr="006D2651">
        <w:trPr>
          <w:trHeight w:val="416"/>
        </w:trPr>
        <w:tc>
          <w:tcPr>
            <w:tcW w:w="1629" w:type="dxa"/>
          </w:tcPr>
          <w:p w14:paraId="5B18A239" w14:textId="77777777" w:rsidR="006D2651" w:rsidRPr="006D2651" w:rsidRDefault="006D2651" w:rsidP="006D2651">
            <w:pPr>
              <w:spacing w:after="0"/>
              <w:jc w:val="both"/>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val="en-GB" w:eastAsia="en-GB"/>
              </w:rPr>
              <w:t>Year</w:t>
            </w:r>
          </w:p>
        </w:tc>
        <w:tc>
          <w:tcPr>
            <w:tcW w:w="1978" w:type="dxa"/>
          </w:tcPr>
          <w:p w14:paraId="5B1439C0"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Till 31.03.2025(*)</w:t>
            </w:r>
          </w:p>
        </w:tc>
        <w:tc>
          <w:tcPr>
            <w:tcW w:w="1516" w:type="dxa"/>
          </w:tcPr>
          <w:p w14:paraId="31F85ACF"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2025-26</w:t>
            </w:r>
          </w:p>
        </w:tc>
        <w:tc>
          <w:tcPr>
            <w:tcW w:w="1516" w:type="dxa"/>
          </w:tcPr>
          <w:p w14:paraId="1FC08BCC"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2026-27</w:t>
            </w:r>
          </w:p>
        </w:tc>
        <w:tc>
          <w:tcPr>
            <w:tcW w:w="1667" w:type="dxa"/>
          </w:tcPr>
          <w:p w14:paraId="38BFC75C"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2027-28</w:t>
            </w:r>
          </w:p>
        </w:tc>
        <w:tc>
          <w:tcPr>
            <w:tcW w:w="1440" w:type="dxa"/>
          </w:tcPr>
          <w:p w14:paraId="304FDB61" w14:textId="77777777" w:rsidR="006D2651" w:rsidRPr="006D2651" w:rsidRDefault="006D2651" w:rsidP="006D2651">
            <w:pPr>
              <w:spacing w:after="0"/>
              <w:jc w:val="center"/>
              <w:rPr>
                <w:rFonts w:ascii="Times New Roman" w:eastAsiaTheme="minorEastAsia" w:hAnsi="Times New Roman"/>
                <w:b/>
                <w:bCs/>
                <w:sz w:val="20"/>
                <w:szCs w:val="20"/>
              </w:rPr>
            </w:pPr>
            <w:r w:rsidRPr="006D2651">
              <w:rPr>
                <w:rFonts w:ascii="Times New Roman" w:eastAsiaTheme="minorEastAsia" w:hAnsi="Times New Roman"/>
                <w:b/>
                <w:bCs/>
                <w:sz w:val="20"/>
                <w:szCs w:val="20"/>
              </w:rPr>
              <w:t>FY 2028-29</w:t>
            </w:r>
          </w:p>
        </w:tc>
      </w:tr>
      <w:tr w:rsidR="006D2651" w:rsidRPr="006D2651" w14:paraId="31B195F0" w14:textId="77777777" w:rsidTr="006D2651">
        <w:trPr>
          <w:trHeight w:val="569"/>
        </w:trPr>
        <w:tc>
          <w:tcPr>
            <w:tcW w:w="1629" w:type="dxa"/>
          </w:tcPr>
          <w:p w14:paraId="4D2ADA08" w14:textId="77777777" w:rsidR="006D2651" w:rsidRPr="006D2651" w:rsidRDefault="006D2651" w:rsidP="006D2651">
            <w:pPr>
              <w:spacing w:after="0"/>
              <w:jc w:val="both"/>
              <w:rPr>
                <w:rFonts w:ascii="Times New Roman" w:eastAsiaTheme="minorEastAsia" w:hAnsi="Times New Roman"/>
                <w:sz w:val="20"/>
                <w:szCs w:val="20"/>
              </w:rPr>
            </w:pPr>
            <w:r w:rsidRPr="006D2651">
              <w:rPr>
                <w:rFonts w:ascii="Times New Roman" w:eastAsia="Times New Roman" w:hAnsi="Times New Roman"/>
                <w:b/>
                <w:bCs/>
                <w:sz w:val="20"/>
                <w:szCs w:val="20"/>
                <w:lang w:val="en-GB" w:eastAsia="en-GB"/>
              </w:rPr>
              <w:t>Pipeline Tariff (₹/MT)</w:t>
            </w:r>
          </w:p>
        </w:tc>
        <w:tc>
          <w:tcPr>
            <w:tcW w:w="1978" w:type="dxa"/>
          </w:tcPr>
          <w:p w14:paraId="7FFB47CF"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1191.39</w:t>
            </w:r>
          </w:p>
        </w:tc>
        <w:tc>
          <w:tcPr>
            <w:tcW w:w="1516" w:type="dxa"/>
          </w:tcPr>
          <w:p w14:paraId="65FEDE69"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1231.89</w:t>
            </w:r>
          </w:p>
        </w:tc>
        <w:tc>
          <w:tcPr>
            <w:tcW w:w="1516" w:type="dxa"/>
          </w:tcPr>
          <w:p w14:paraId="7DA7590D"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1273.78</w:t>
            </w:r>
          </w:p>
        </w:tc>
        <w:tc>
          <w:tcPr>
            <w:tcW w:w="1667" w:type="dxa"/>
          </w:tcPr>
          <w:p w14:paraId="1810520B"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1317.09</w:t>
            </w:r>
          </w:p>
        </w:tc>
        <w:tc>
          <w:tcPr>
            <w:tcW w:w="1440" w:type="dxa"/>
          </w:tcPr>
          <w:p w14:paraId="45282F76" w14:textId="77777777" w:rsidR="006D2651" w:rsidRPr="006D2651" w:rsidRDefault="006D2651" w:rsidP="006D2651">
            <w:pPr>
              <w:spacing w:after="0"/>
              <w:jc w:val="center"/>
              <w:rPr>
                <w:rFonts w:ascii="Times New Roman" w:eastAsiaTheme="minorEastAsia" w:hAnsi="Times New Roman"/>
                <w:sz w:val="20"/>
                <w:szCs w:val="20"/>
              </w:rPr>
            </w:pPr>
            <w:r w:rsidRPr="006D2651">
              <w:rPr>
                <w:rFonts w:ascii="Times New Roman" w:eastAsiaTheme="minorEastAsia" w:hAnsi="Times New Roman"/>
                <w:sz w:val="20"/>
                <w:szCs w:val="20"/>
              </w:rPr>
              <w:t>1361.87</w:t>
            </w:r>
          </w:p>
        </w:tc>
      </w:tr>
    </w:tbl>
    <w:p w14:paraId="04D1EA63" w14:textId="77777777" w:rsidR="006D2651" w:rsidRPr="006D2651" w:rsidRDefault="006D2651" w:rsidP="006D2651">
      <w:pPr>
        <w:spacing w:before="200"/>
        <w:jc w:val="both"/>
        <w:rPr>
          <w:rFonts w:ascii="Times New Roman" w:eastAsiaTheme="minorEastAsia" w:hAnsi="Times New Roman"/>
          <w:b/>
          <w:bCs/>
          <w:sz w:val="20"/>
          <w:szCs w:val="20"/>
        </w:rPr>
      </w:pPr>
      <w:r w:rsidRPr="006D2651">
        <w:rPr>
          <w:rFonts w:ascii="Times New Roman" w:eastAsiaTheme="minorEastAsia" w:hAnsi="Times New Roman"/>
          <w:b/>
          <w:bCs/>
          <w:sz w:val="20"/>
          <w:szCs w:val="20"/>
        </w:rPr>
        <w:t>*</w:t>
      </w:r>
      <w:r w:rsidRPr="006D2651">
        <w:rPr>
          <w:rFonts w:ascii="Times New Roman" w:hAnsi="Times New Roman"/>
          <w:sz w:val="20"/>
          <w:szCs w:val="20"/>
        </w:rPr>
        <w:t>from the date these regulations come into force till 31.03.2025</w:t>
      </w:r>
    </w:p>
    <w:p w14:paraId="3B0D6A60" w14:textId="77777777" w:rsidR="006D2651" w:rsidRPr="006D2651" w:rsidRDefault="006D2651" w:rsidP="0099442F">
      <w:pPr>
        <w:spacing w:after="0" w:line="240" w:lineRule="auto"/>
        <w:ind w:left="720"/>
        <w:jc w:val="center"/>
        <w:rPr>
          <w:rFonts w:ascii="Times New Roman" w:hAnsi="Times New Roman"/>
          <w:b/>
          <w:sz w:val="20"/>
          <w:szCs w:val="20"/>
        </w:rPr>
      </w:pPr>
      <w:r w:rsidRPr="006D2651">
        <w:rPr>
          <w:rFonts w:ascii="Times New Roman" w:hAnsi="Times New Roman"/>
          <w:b/>
          <w:bCs/>
          <w:sz w:val="20"/>
          <w:szCs w:val="20"/>
        </w:rPr>
        <w:t>Schedule B</w:t>
      </w:r>
    </w:p>
    <w:p w14:paraId="0CB6C9BB" w14:textId="77777777" w:rsidR="006D2651" w:rsidRPr="006D2651" w:rsidRDefault="006D2651" w:rsidP="0099442F">
      <w:pPr>
        <w:pStyle w:val="ListParagraph"/>
        <w:spacing w:before="120" w:after="0" w:line="240" w:lineRule="auto"/>
        <w:contextualSpacing w:val="0"/>
        <w:jc w:val="center"/>
        <w:rPr>
          <w:rFonts w:ascii="Times New Roman" w:hAnsi="Times New Roman"/>
          <w:b/>
          <w:bCs/>
          <w:sz w:val="20"/>
          <w:szCs w:val="20"/>
        </w:rPr>
      </w:pPr>
      <w:r w:rsidRPr="006D2651">
        <w:rPr>
          <w:rFonts w:ascii="Times New Roman" w:hAnsi="Times New Roman"/>
          <w:b/>
          <w:bCs/>
          <w:sz w:val="20"/>
          <w:szCs w:val="20"/>
        </w:rPr>
        <w:t>[refer regulation 4 and regulation 5]</w:t>
      </w:r>
    </w:p>
    <w:p w14:paraId="5B65D124" w14:textId="77777777" w:rsidR="006D2651" w:rsidRPr="006D2651" w:rsidRDefault="006D2651" w:rsidP="006D2651">
      <w:pPr>
        <w:pStyle w:val="ListParagraph"/>
        <w:pBdr>
          <w:bottom w:val="single" w:sz="12" w:space="3" w:color="auto"/>
        </w:pBdr>
        <w:spacing w:before="120" w:after="120"/>
        <w:ind w:left="142"/>
        <w:contextualSpacing w:val="0"/>
        <w:jc w:val="center"/>
        <w:rPr>
          <w:rFonts w:ascii="Times New Roman" w:hAnsi="Times New Roman"/>
          <w:b/>
          <w:bCs/>
          <w:sz w:val="20"/>
          <w:szCs w:val="20"/>
        </w:rPr>
      </w:pPr>
      <w:r w:rsidRPr="006D2651">
        <w:rPr>
          <w:rFonts w:ascii="Times New Roman" w:hAnsi="Times New Roman"/>
          <w:b/>
          <w:bCs/>
          <w:sz w:val="20"/>
          <w:szCs w:val="20"/>
        </w:rPr>
        <w:t>Procedure for determination of petroleum and petroleum products pipeline tariff through DCF</w:t>
      </w:r>
    </w:p>
    <w:p w14:paraId="6C15337C" w14:textId="77777777" w:rsidR="006D2651" w:rsidRPr="006D2651" w:rsidRDefault="006D2651" w:rsidP="0099442F">
      <w:pPr>
        <w:spacing w:line="240" w:lineRule="auto"/>
        <w:jc w:val="both"/>
        <w:rPr>
          <w:rFonts w:ascii="Times New Roman" w:hAnsi="Times New Roman"/>
          <w:sz w:val="20"/>
          <w:szCs w:val="20"/>
        </w:rPr>
      </w:pPr>
      <w:bookmarkStart w:id="0" w:name="_Hlk155692764"/>
      <w:r w:rsidRPr="006D2651">
        <w:rPr>
          <w:rFonts w:ascii="Times New Roman" w:hAnsi="Times New Roman"/>
          <w:sz w:val="20"/>
          <w:szCs w:val="20"/>
        </w:rPr>
        <w:t xml:space="preserve">The </w:t>
      </w:r>
      <w:bookmarkStart w:id="1" w:name="_Hlk155736457"/>
      <w:r w:rsidRPr="006D2651">
        <w:rPr>
          <w:rFonts w:ascii="Times New Roman" w:hAnsi="Times New Roman"/>
          <w:sz w:val="20"/>
          <w:szCs w:val="20"/>
        </w:rPr>
        <w:t xml:space="preserve">Petroleum and petroleum products pipeline </w:t>
      </w:r>
      <w:bookmarkEnd w:id="1"/>
      <w:r w:rsidRPr="006D2651">
        <w:rPr>
          <w:rFonts w:ascii="Times New Roman" w:hAnsi="Times New Roman"/>
          <w:sz w:val="20"/>
          <w:szCs w:val="20"/>
        </w:rPr>
        <w:t>transportation tariff shall be determined by considering a reasonable rate of return on capital employed and a normative level of operating expenses of the pipeline.</w:t>
      </w:r>
    </w:p>
    <w:p w14:paraId="14D73FD2" w14:textId="77777777" w:rsidR="00C34994" w:rsidRDefault="00C34994" w:rsidP="006D2651">
      <w:pPr>
        <w:ind w:right="4"/>
        <w:jc w:val="both"/>
        <w:rPr>
          <w:rFonts w:ascii="Times New Roman" w:hAnsi="Times New Roman"/>
          <w:sz w:val="20"/>
          <w:szCs w:val="20"/>
        </w:rPr>
      </w:pPr>
    </w:p>
    <w:p w14:paraId="67E91555" w14:textId="77777777" w:rsidR="00C34994" w:rsidRDefault="00C34994" w:rsidP="006D2651">
      <w:pPr>
        <w:ind w:right="4"/>
        <w:jc w:val="both"/>
        <w:rPr>
          <w:rFonts w:ascii="Times New Roman" w:hAnsi="Times New Roman"/>
          <w:sz w:val="20"/>
          <w:szCs w:val="20"/>
        </w:rPr>
      </w:pPr>
    </w:p>
    <w:p w14:paraId="16511B70" w14:textId="77777777" w:rsidR="00C34994" w:rsidRDefault="00C34994" w:rsidP="006D2651">
      <w:pPr>
        <w:ind w:right="4"/>
        <w:jc w:val="both"/>
        <w:rPr>
          <w:rFonts w:ascii="Times New Roman" w:hAnsi="Times New Roman"/>
          <w:sz w:val="20"/>
          <w:szCs w:val="20"/>
        </w:rPr>
      </w:pPr>
    </w:p>
    <w:p w14:paraId="18A3844D" w14:textId="77777777" w:rsidR="00C34994" w:rsidRPr="00C34994" w:rsidRDefault="00C34994" w:rsidP="006D2651">
      <w:pPr>
        <w:ind w:right="4"/>
        <w:jc w:val="both"/>
        <w:rPr>
          <w:rFonts w:ascii="Times New Roman" w:hAnsi="Times New Roman"/>
          <w:sz w:val="2"/>
          <w:szCs w:val="2"/>
        </w:rPr>
      </w:pPr>
    </w:p>
    <w:p w14:paraId="0464FAFC" w14:textId="0BF03164" w:rsidR="006D2651" w:rsidRPr="006D2651" w:rsidRDefault="006D2651" w:rsidP="006D2651">
      <w:pPr>
        <w:ind w:right="4"/>
        <w:jc w:val="both"/>
        <w:rPr>
          <w:rFonts w:ascii="Times New Roman" w:hAnsi="Times New Roman"/>
          <w:sz w:val="20"/>
          <w:szCs w:val="20"/>
        </w:rPr>
      </w:pPr>
      <w:r w:rsidRPr="006D2651">
        <w:rPr>
          <w:rFonts w:ascii="Times New Roman" w:hAnsi="Times New Roman"/>
          <w:sz w:val="20"/>
          <w:szCs w:val="20"/>
        </w:rPr>
        <w:t>Explanation: The expression “normative level” shall be with reference to a level, which is both reasonable and justifiable in terms of incurrence of capital and operating expenditure required for laying, building, operating, or expanding an efficient petroleum and petroleum products pipeline over its economic life.</w:t>
      </w:r>
    </w:p>
    <w:bookmarkEnd w:id="0"/>
    <w:p w14:paraId="30FD4E6B" w14:textId="77777777" w:rsidR="006D2651" w:rsidRPr="006D2651" w:rsidRDefault="006D2651" w:rsidP="006D2651">
      <w:pPr>
        <w:pStyle w:val="ListParagraph"/>
        <w:numPr>
          <w:ilvl w:val="0"/>
          <w:numId w:val="4"/>
        </w:numPr>
        <w:jc w:val="both"/>
        <w:rPr>
          <w:rFonts w:ascii="Times New Roman" w:hAnsi="Times New Roman"/>
          <w:sz w:val="20"/>
          <w:szCs w:val="20"/>
        </w:rPr>
      </w:pPr>
      <w:r w:rsidRPr="006D2651">
        <w:rPr>
          <w:rFonts w:ascii="Times New Roman" w:hAnsi="Times New Roman"/>
          <w:b/>
          <w:bCs/>
          <w:sz w:val="20"/>
          <w:szCs w:val="20"/>
        </w:rPr>
        <w:t>Financial Feasibility</w:t>
      </w:r>
    </w:p>
    <w:p w14:paraId="00B6338B" w14:textId="77777777" w:rsidR="006D2651" w:rsidRPr="006D2651" w:rsidRDefault="006D2651" w:rsidP="0099442F">
      <w:pPr>
        <w:ind w:firstLine="360"/>
        <w:jc w:val="both"/>
        <w:rPr>
          <w:rFonts w:ascii="Times New Roman" w:hAnsi="Times New Roman"/>
          <w:sz w:val="20"/>
          <w:szCs w:val="20"/>
        </w:rPr>
      </w:pPr>
      <w:r w:rsidRPr="006D2651">
        <w:rPr>
          <w:rFonts w:ascii="Times New Roman" w:hAnsi="Times New Roman"/>
          <w:sz w:val="20"/>
          <w:szCs w:val="20"/>
        </w:rPr>
        <w:t>The entity to which these regulations apply shall submit all technical, operating, financial and cost data of the petroleum and petroleum products pipeline project, in the form at Attachment 1 of Schedule B that may be required by the Board in determination of the unit petroleum and petroleum product pipeline tariff.</w:t>
      </w:r>
    </w:p>
    <w:p w14:paraId="68E418B6" w14:textId="77777777" w:rsidR="006D2651" w:rsidRPr="006D2651" w:rsidRDefault="006D2651" w:rsidP="0099442F">
      <w:pPr>
        <w:pStyle w:val="ListParagraph"/>
        <w:numPr>
          <w:ilvl w:val="0"/>
          <w:numId w:val="4"/>
        </w:numPr>
        <w:spacing w:after="0"/>
        <w:ind w:left="357" w:hanging="357"/>
        <w:contextualSpacing w:val="0"/>
        <w:jc w:val="both"/>
        <w:rPr>
          <w:rFonts w:ascii="Times New Roman" w:hAnsi="Times New Roman"/>
          <w:sz w:val="20"/>
          <w:szCs w:val="20"/>
        </w:rPr>
      </w:pPr>
      <w:r w:rsidRPr="006D2651">
        <w:rPr>
          <w:rFonts w:ascii="Times New Roman" w:hAnsi="Times New Roman"/>
          <w:b/>
          <w:bCs/>
          <w:sz w:val="20"/>
          <w:szCs w:val="20"/>
        </w:rPr>
        <w:t>Methodology for Determination of Petroleum and Petroleum Products Pipeline Tariff through consideration of a reasonable rate of return</w:t>
      </w:r>
    </w:p>
    <w:p w14:paraId="1194E752" w14:textId="77777777" w:rsidR="006D2651" w:rsidRPr="006D2651" w:rsidRDefault="006D2651" w:rsidP="0099442F">
      <w:pPr>
        <w:pStyle w:val="ListParagraph"/>
        <w:spacing w:after="0"/>
        <w:ind w:left="0" w:firstLine="360"/>
        <w:jc w:val="both"/>
        <w:rPr>
          <w:rFonts w:ascii="Times New Roman" w:hAnsi="Times New Roman"/>
          <w:sz w:val="20"/>
          <w:szCs w:val="20"/>
        </w:rPr>
      </w:pPr>
      <w:r w:rsidRPr="006D2651">
        <w:rPr>
          <w:rFonts w:ascii="Times New Roman" w:hAnsi="Times New Roman"/>
          <w:sz w:val="20"/>
          <w:szCs w:val="20"/>
        </w:rPr>
        <w:t>The unit rate (₹/MT/KM) of petroleum and petroleum products pipeline tariff to be charged for a period shall be calculated based on the “Discounted Cash flow</w:t>
      </w:r>
      <w:r w:rsidRPr="006D2651">
        <w:rPr>
          <w:rStyle w:val="FootnoteReference"/>
          <w:rFonts w:ascii="Times New Roman" w:hAnsi="Times New Roman"/>
          <w:sz w:val="20"/>
          <w:szCs w:val="20"/>
        </w:rPr>
        <w:footnoteReference w:id="2"/>
      </w:r>
      <w:r w:rsidRPr="006D2651">
        <w:rPr>
          <w:rFonts w:ascii="Times New Roman" w:hAnsi="Times New Roman"/>
          <w:sz w:val="20"/>
          <w:szCs w:val="20"/>
        </w:rPr>
        <w:t>” (DCF) methodology considering the reasonable rate of return as specified in clause 3 to be the project’s internal rate of return. The parameters relevant to the applicability of the DCF methodology have been described in detail in clauses 4 to 6 below.</w:t>
      </w:r>
    </w:p>
    <w:p w14:paraId="187AF4A1" w14:textId="77777777" w:rsidR="006D2651" w:rsidRPr="006D2651" w:rsidRDefault="006D2651" w:rsidP="0099442F">
      <w:pPr>
        <w:ind w:firstLine="360"/>
        <w:jc w:val="both"/>
        <w:rPr>
          <w:rFonts w:ascii="Times New Roman" w:hAnsi="Times New Roman"/>
          <w:sz w:val="20"/>
          <w:szCs w:val="20"/>
        </w:rPr>
      </w:pPr>
      <w:r w:rsidRPr="006D2651">
        <w:rPr>
          <w:rStyle w:val="Strong"/>
          <w:rFonts w:ascii="Times New Roman" w:hAnsi="Times New Roman"/>
          <w:b w:val="0"/>
          <w:bCs w:val="0"/>
          <w:sz w:val="20"/>
          <w:szCs w:val="20"/>
        </w:rPr>
        <w:t xml:space="preserve">Note 1: </w:t>
      </w:r>
      <w:r w:rsidRPr="006D2651">
        <w:rPr>
          <w:rStyle w:val="ui-provider"/>
          <w:rFonts w:ascii="Times New Roman" w:hAnsi="Times New Roman"/>
          <w:sz w:val="20"/>
          <w:szCs w:val="20"/>
        </w:rPr>
        <w:t>For petroleum and petroleum products pipeline covered under sub-regulation (5) of regulation 3, DCF will be used for the economic life beyond 10</w:t>
      </w:r>
      <w:r w:rsidRPr="006D2651">
        <w:rPr>
          <w:rStyle w:val="ui-provider"/>
          <w:rFonts w:ascii="Times New Roman" w:hAnsi="Times New Roman"/>
          <w:sz w:val="20"/>
          <w:szCs w:val="20"/>
          <w:vertAlign w:val="superscript"/>
        </w:rPr>
        <w:t>th</w:t>
      </w:r>
      <w:r w:rsidRPr="006D2651">
        <w:rPr>
          <w:rStyle w:val="ui-provider"/>
          <w:rFonts w:ascii="Times New Roman" w:hAnsi="Times New Roman"/>
          <w:sz w:val="20"/>
          <w:szCs w:val="20"/>
        </w:rPr>
        <w:t xml:space="preserve"> year of operation and tariff shall be determined considering net fixed assets (NFA) available at the beginning of the 11</w:t>
      </w:r>
      <w:r w:rsidRPr="006D2651">
        <w:rPr>
          <w:rStyle w:val="ui-provider"/>
          <w:rFonts w:ascii="Times New Roman" w:hAnsi="Times New Roman"/>
          <w:sz w:val="20"/>
          <w:szCs w:val="20"/>
          <w:vertAlign w:val="superscript"/>
        </w:rPr>
        <w:t>th</w:t>
      </w:r>
      <w:r w:rsidRPr="006D2651">
        <w:rPr>
          <w:rStyle w:val="ui-provider"/>
          <w:rFonts w:ascii="Times New Roman" w:hAnsi="Times New Roman"/>
          <w:sz w:val="20"/>
          <w:szCs w:val="20"/>
        </w:rPr>
        <w:t xml:space="preserve"> year of operation.</w:t>
      </w:r>
    </w:p>
    <w:p w14:paraId="1C38A75E" w14:textId="2CC2EDA9" w:rsidR="0099442F" w:rsidRPr="006D2651" w:rsidRDefault="006D2651" w:rsidP="0099442F">
      <w:pPr>
        <w:ind w:firstLine="360"/>
        <w:jc w:val="both"/>
        <w:rPr>
          <w:rFonts w:ascii="Times New Roman" w:hAnsi="Times New Roman"/>
          <w:sz w:val="20"/>
          <w:szCs w:val="20"/>
        </w:rPr>
      </w:pPr>
      <w:r w:rsidRPr="006D2651">
        <w:rPr>
          <w:rFonts w:ascii="Times New Roman" w:hAnsi="Times New Roman"/>
          <w:sz w:val="20"/>
          <w:szCs w:val="20"/>
        </w:rPr>
        <w:t>Note 2: For petroleum and petroleum products pipeline covered under sub-regulation (1), (2), (3) or (4) of regulation 3 which has been commissioned before the notification of the Petroleum and Natural Gas Regulatory Board (Determination of Petroleum and Petroleum products Pipelines Transportation Tariff) Regulations, 2010, where the entity would like to change the tariff determination methodology of its respective petroleum and petroleum products pipeline from Schedule A to Schedule B due to substantial Capex infusion by the way of capacity augmentation, replacement, extension, or expansion,  DCF will be used for the revised economic life of the pipeline considering the Net Fixed Assets from the date of approval of change in methodology from Schedule A to Schedule B by the Board or the date of commissioning of capacity augmentation, replacement, extension, or expansion of the pipeline, whichever is later.</w:t>
      </w:r>
    </w:p>
    <w:p w14:paraId="0553DDA9"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 xml:space="preserve">Reasonable rate of return </w:t>
      </w:r>
    </w:p>
    <w:p w14:paraId="7D6B3EB5" w14:textId="77777777" w:rsidR="006D2651" w:rsidRPr="006D2651" w:rsidRDefault="006D2651" w:rsidP="006D2651">
      <w:pPr>
        <w:ind w:left="360"/>
        <w:jc w:val="both"/>
        <w:rPr>
          <w:rFonts w:ascii="Times New Roman" w:hAnsi="Times New Roman"/>
          <w:sz w:val="20"/>
          <w:szCs w:val="20"/>
        </w:rPr>
      </w:pPr>
      <w:r w:rsidRPr="006D2651">
        <w:rPr>
          <w:rFonts w:ascii="Times New Roman" w:hAnsi="Times New Roman"/>
          <w:sz w:val="20"/>
          <w:szCs w:val="20"/>
        </w:rPr>
        <w:t>The rate of return on capital employed shall be equal to twelve per cent post-tax. The rate of return on capital employed once applied to petroleum and petroleum products pipeline shall remain fixed for the entire economic life of the project.</w:t>
      </w:r>
    </w:p>
    <w:p w14:paraId="1651AD4D" w14:textId="367A25EF" w:rsidR="006D2651" w:rsidRDefault="006D2651" w:rsidP="006D2651">
      <w:pPr>
        <w:ind w:left="360"/>
        <w:jc w:val="both"/>
        <w:rPr>
          <w:rFonts w:ascii="Times New Roman" w:hAnsi="Times New Roman"/>
          <w:sz w:val="20"/>
          <w:szCs w:val="20"/>
        </w:rPr>
      </w:pPr>
      <w:r w:rsidRPr="006D2651">
        <w:rPr>
          <w:rFonts w:ascii="Times New Roman" w:hAnsi="Times New Roman"/>
          <w:sz w:val="20"/>
          <w:szCs w:val="20"/>
        </w:rPr>
        <w:t>Provided that in case of petroleum and petroleum products pipeline covered under sub-regulation (5) of regulation 3, the rate of return on capital employed shall be equal to twelve per cent calculated for the remaining economic life (starting from the 11</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of operations onwards and including extension in economic life, if any, from time </w:t>
      </w:r>
      <w:r w:rsidRPr="006D2651">
        <w:rPr>
          <w:rFonts w:ascii="Times New Roman" w:hAnsi="Times New Roman"/>
          <w:sz w:val="20"/>
          <w:szCs w:val="20"/>
        </w:rPr>
        <w:lastRenderedPageBreak/>
        <w:t>to time beyond 25 years of operations) of the project by considering Net fixed assets available at the start of 11</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of operations.</w:t>
      </w:r>
    </w:p>
    <w:p w14:paraId="5B720899" w14:textId="27A53500" w:rsidR="00C34994" w:rsidRPr="006D2651" w:rsidRDefault="00C34994" w:rsidP="006D2651">
      <w:pPr>
        <w:ind w:left="360"/>
        <w:jc w:val="both"/>
        <w:rPr>
          <w:rFonts w:ascii="Times New Roman" w:hAnsi="Times New Roman"/>
          <w:strike/>
          <w:sz w:val="20"/>
          <w:szCs w:val="20"/>
        </w:rPr>
      </w:pPr>
    </w:p>
    <w:p w14:paraId="56722D13" w14:textId="77777777" w:rsidR="006D2651" w:rsidRPr="006D2651" w:rsidRDefault="006D2651" w:rsidP="006D2651">
      <w:pPr>
        <w:ind w:left="360"/>
        <w:jc w:val="both"/>
        <w:rPr>
          <w:rFonts w:ascii="Times New Roman" w:hAnsi="Times New Roman"/>
          <w:sz w:val="20"/>
          <w:szCs w:val="20"/>
        </w:rPr>
      </w:pPr>
      <w:r w:rsidRPr="006D2651">
        <w:rPr>
          <w:rFonts w:ascii="Times New Roman" w:hAnsi="Times New Roman"/>
          <w:sz w:val="20"/>
          <w:szCs w:val="20"/>
        </w:rPr>
        <w:t>Provided further that in case of petroleum and petroleum products pipeline covered under sub-regulation (1), (2), (3) or (4) of regulation 3 which has been commissioned before the notification of the Petroleum and Natural Gas Regulatory Board (Determination of Petroleum and Petroleum products Pipelines Transportation Tariff) Regulations, 2010, where an entity desires to change the tariff determination methodology of its  petroleum and petroleum products pipeline from Schedule A to Schedule B due to substantial Capex infusion by the way of capacity augmentation, replacement, extension, or expansion, the rate of return on capital employed shall be equal to twelve per cent post-tax considering Net Fixed Assets of the pipeline on the date of approval of change in methodology from Schedule A to Schedule B by the Board or the date of commissioning of capacity augmentation, replacement, extension, or expansion of the pipeline, whichever is later.</w:t>
      </w:r>
    </w:p>
    <w:p w14:paraId="75382464" w14:textId="77777777" w:rsidR="006D2651" w:rsidRPr="006D2651" w:rsidRDefault="006D2651" w:rsidP="006D2651">
      <w:pPr>
        <w:ind w:left="360"/>
        <w:jc w:val="both"/>
        <w:rPr>
          <w:rFonts w:ascii="Times New Roman" w:hAnsi="Times New Roman"/>
          <w:sz w:val="20"/>
          <w:szCs w:val="20"/>
        </w:rPr>
      </w:pPr>
      <w:r w:rsidRPr="006D2651">
        <w:rPr>
          <w:rFonts w:ascii="Times New Roman" w:hAnsi="Times New Roman"/>
          <w:b/>
          <w:bCs/>
          <w:sz w:val="20"/>
          <w:szCs w:val="20"/>
        </w:rPr>
        <w:t>Note</w:t>
      </w:r>
      <w:r w:rsidRPr="006D2651">
        <w:rPr>
          <w:rFonts w:ascii="Times New Roman" w:hAnsi="Times New Roman"/>
          <w:sz w:val="20"/>
          <w:szCs w:val="20"/>
        </w:rPr>
        <w:t>: The pre–tax rate of return on capital employed shall be computed by grossing-up twelve per cent by the nominal rate of income tax applicable for corporate assesses as per the provisions of the income Tax Act, 1961, as amended from time to time.</w:t>
      </w:r>
    </w:p>
    <w:p w14:paraId="05D8FF27" w14:textId="77777777" w:rsidR="006D2651" w:rsidRPr="006D2651" w:rsidRDefault="006D2651" w:rsidP="006D2651">
      <w:pPr>
        <w:ind w:left="360"/>
        <w:jc w:val="both"/>
        <w:rPr>
          <w:rFonts w:ascii="Times New Roman" w:hAnsi="Times New Roman"/>
          <w:b/>
          <w:bCs/>
          <w:sz w:val="20"/>
          <w:szCs w:val="20"/>
          <w:highlight w:val="yellow"/>
        </w:rPr>
      </w:pPr>
      <w:r w:rsidRPr="006D2651">
        <w:rPr>
          <w:rFonts w:ascii="Times New Roman" w:hAnsi="Times New Roman"/>
          <w:sz w:val="20"/>
          <w:szCs w:val="20"/>
        </w:rPr>
        <w:t>Explanation- For removal of doubt, it is clarified that in case more than one nominal rates of income tax are available as an option to the entity under the law relating to income tax, the lowest of such nominal rates of income tax shall be considered for the purpose of grossing-up the post-tax rate of return of twelve per cent for computing pre-tax rate of return on capital employed.</w:t>
      </w:r>
    </w:p>
    <w:p w14:paraId="70C12127"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Return on capital employed</w:t>
      </w:r>
    </w:p>
    <w:p w14:paraId="3C21D8E4" w14:textId="77777777" w:rsidR="006D2651" w:rsidRPr="006D2651" w:rsidRDefault="006D2651" w:rsidP="006D2651">
      <w:pPr>
        <w:pStyle w:val="ListParagraph"/>
        <w:numPr>
          <w:ilvl w:val="0"/>
          <w:numId w:val="5"/>
        </w:numPr>
        <w:spacing w:after="80"/>
        <w:ind w:left="714" w:hanging="357"/>
        <w:contextualSpacing w:val="0"/>
        <w:jc w:val="both"/>
        <w:rPr>
          <w:rFonts w:ascii="Times New Roman" w:hAnsi="Times New Roman"/>
          <w:sz w:val="20"/>
          <w:szCs w:val="20"/>
        </w:rPr>
      </w:pPr>
      <w:r w:rsidRPr="006D2651">
        <w:rPr>
          <w:rFonts w:ascii="Times New Roman" w:hAnsi="Times New Roman"/>
          <w:sz w:val="20"/>
          <w:szCs w:val="20"/>
        </w:rPr>
        <w:t xml:space="preserve">The reasonable rate of return shall be applied on the total capital employed to determine the return on capital employed in the project over its economic life and the authorized entity shall be free to leverage the financing of the project in any suitable manner. </w:t>
      </w:r>
    </w:p>
    <w:p w14:paraId="798A8940" w14:textId="77777777" w:rsidR="006D2651" w:rsidRPr="006D2651" w:rsidRDefault="006D2651" w:rsidP="006D2651">
      <w:pPr>
        <w:pStyle w:val="ListParagraph"/>
        <w:numPr>
          <w:ilvl w:val="0"/>
          <w:numId w:val="5"/>
        </w:numPr>
        <w:spacing w:after="80"/>
        <w:ind w:left="714" w:hanging="357"/>
        <w:contextualSpacing w:val="0"/>
        <w:jc w:val="both"/>
        <w:rPr>
          <w:rFonts w:ascii="Times New Roman" w:hAnsi="Times New Roman"/>
          <w:sz w:val="20"/>
          <w:szCs w:val="20"/>
        </w:rPr>
      </w:pPr>
      <w:r w:rsidRPr="006D2651">
        <w:rPr>
          <w:rFonts w:ascii="Times New Roman" w:hAnsi="Times New Roman"/>
          <w:sz w:val="20"/>
          <w:szCs w:val="20"/>
        </w:rPr>
        <w:t>The total capital employed shall be equal to the gross fixed assets in the project less accumulated depreciation</w:t>
      </w:r>
      <w:r w:rsidRPr="006D2651">
        <w:rPr>
          <w:rStyle w:val="FootnoteReference"/>
          <w:rFonts w:ascii="Times New Roman" w:hAnsi="Times New Roman"/>
          <w:sz w:val="20"/>
          <w:szCs w:val="20"/>
        </w:rPr>
        <w:footnoteReference w:id="3"/>
      </w:r>
      <w:r w:rsidRPr="006D2651">
        <w:rPr>
          <w:rFonts w:ascii="Times New Roman" w:hAnsi="Times New Roman"/>
          <w:sz w:val="20"/>
          <w:szCs w:val="20"/>
        </w:rPr>
        <w:t xml:space="preserve"> plus normative working capital (equal to thirty days of operating costs excluding depreciation and eighteen days petroleum and petroleum product pipeline tariff receivables). </w:t>
      </w:r>
    </w:p>
    <w:p w14:paraId="1F4B18E8" w14:textId="77777777" w:rsidR="0099442F" w:rsidRPr="0099442F" w:rsidRDefault="006D2651" w:rsidP="006D2651">
      <w:pPr>
        <w:pStyle w:val="ListParagraph"/>
        <w:numPr>
          <w:ilvl w:val="0"/>
          <w:numId w:val="5"/>
        </w:numPr>
        <w:spacing w:after="80"/>
        <w:ind w:left="714" w:hanging="357"/>
        <w:contextualSpacing w:val="0"/>
        <w:jc w:val="both"/>
        <w:rPr>
          <w:rFonts w:ascii="Times New Roman" w:hAnsi="Times New Roman"/>
          <w:color w:val="FF0000"/>
          <w:sz w:val="20"/>
          <w:szCs w:val="20"/>
        </w:rPr>
      </w:pPr>
      <w:r w:rsidRPr="006D2651">
        <w:rPr>
          <w:rFonts w:ascii="Times New Roman" w:hAnsi="Times New Roman"/>
          <w:sz w:val="20"/>
          <w:szCs w:val="20"/>
        </w:rPr>
        <w:t xml:space="preserve">The gross fixed assets shall be equal to their actual historical cost of acquisition (including the cost of subsequent replacement or improvement or modification) or that normatively assessed by the Board, </w:t>
      </w:r>
    </w:p>
    <w:p w14:paraId="75241017" w14:textId="77777777" w:rsidR="0099442F" w:rsidRPr="00C34994" w:rsidRDefault="0099442F" w:rsidP="0099442F">
      <w:pPr>
        <w:pStyle w:val="ListParagraph"/>
        <w:spacing w:after="80"/>
        <w:ind w:left="714"/>
        <w:contextualSpacing w:val="0"/>
        <w:jc w:val="both"/>
        <w:rPr>
          <w:rFonts w:ascii="Times New Roman" w:hAnsi="Times New Roman"/>
          <w:sz w:val="2"/>
          <w:szCs w:val="2"/>
        </w:rPr>
      </w:pPr>
    </w:p>
    <w:p w14:paraId="52C06811" w14:textId="346A4B64" w:rsidR="006D2651" w:rsidRPr="006D2651" w:rsidRDefault="006D2651" w:rsidP="0099442F">
      <w:pPr>
        <w:pStyle w:val="ListParagraph"/>
        <w:spacing w:after="80"/>
        <w:ind w:left="714"/>
        <w:contextualSpacing w:val="0"/>
        <w:jc w:val="both"/>
        <w:rPr>
          <w:rFonts w:ascii="Times New Roman" w:hAnsi="Times New Roman"/>
          <w:color w:val="FF0000"/>
          <w:sz w:val="20"/>
          <w:szCs w:val="20"/>
        </w:rPr>
      </w:pPr>
      <w:r w:rsidRPr="006D2651">
        <w:rPr>
          <w:rFonts w:ascii="Times New Roman" w:hAnsi="Times New Roman"/>
          <w:sz w:val="20"/>
          <w:szCs w:val="20"/>
        </w:rPr>
        <w:t>whichever is lesser and required in the petroleum and petroleum product pipeline project over its economic life based on the principles</w:t>
      </w:r>
      <w:r w:rsidRPr="006D2651">
        <w:rPr>
          <w:rStyle w:val="FootnoteReference"/>
          <w:rFonts w:ascii="Times New Roman" w:hAnsi="Times New Roman"/>
          <w:sz w:val="20"/>
          <w:szCs w:val="20"/>
        </w:rPr>
        <w:footnoteReference w:id="4"/>
      </w:r>
      <w:r w:rsidRPr="006D2651">
        <w:rPr>
          <w:rFonts w:ascii="Times New Roman" w:hAnsi="Times New Roman"/>
          <w:sz w:val="20"/>
          <w:szCs w:val="20"/>
        </w:rPr>
        <w:t>to create and sustain an efficient infrastructure, namely:</w:t>
      </w:r>
    </w:p>
    <w:p w14:paraId="3A652BEB" w14:textId="77777777" w:rsidR="006D2651" w:rsidRPr="006D2651" w:rsidRDefault="006D2651" w:rsidP="006D2651">
      <w:pPr>
        <w:pStyle w:val="ListParagraph"/>
        <w:numPr>
          <w:ilvl w:val="0"/>
          <w:numId w:val="15"/>
        </w:numPr>
        <w:spacing w:after="80"/>
        <w:jc w:val="both"/>
        <w:rPr>
          <w:rFonts w:ascii="Times New Roman" w:hAnsi="Times New Roman"/>
          <w:sz w:val="20"/>
          <w:szCs w:val="20"/>
        </w:rPr>
      </w:pPr>
      <w:r w:rsidRPr="006D2651">
        <w:rPr>
          <w:rFonts w:ascii="Times New Roman" w:hAnsi="Times New Roman"/>
          <w:sz w:val="20"/>
          <w:szCs w:val="20"/>
        </w:rPr>
        <w:t xml:space="preserve">treatment of an investment in the fixed asset in determination of total capital employed shall be as per the basis indicated in Attachment 2; </w:t>
      </w:r>
    </w:p>
    <w:p w14:paraId="5652A4BF" w14:textId="77777777" w:rsidR="006D2651" w:rsidRPr="006D2651" w:rsidRDefault="006D2651" w:rsidP="006D2651">
      <w:pPr>
        <w:pStyle w:val="ListParagraph"/>
        <w:numPr>
          <w:ilvl w:val="0"/>
          <w:numId w:val="15"/>
        </w:numPr>
        <w:spacing w:after="80"/>
        <w:jc w:val="both"/>
        <w:rPr>
          <w:rFonts w:ascii="Times New Roman" w:hAnsi="Times New Roman"/>
          <w:sz w:val="20"/>
          <w:szCs w:val="20"/>
        </w:rPr>
      </w:pPr>
      <w:r w:rsidRPr="006D2651">
        <w:rPr>
          <w:rFonts w:ascii="Times New Roman" w:hAnsi="Times New Roman"/>
          <w:sz w:val="20"/>
          <w:szCs w:val="20"/>
        </w:rPr>
        <w:t xml:space="preserve">appropriateness of the pipeline design and the operating philosophy with regards to maximum allowable operating flow; </w:t>
      </w:r>
    </w:p>
    <w:p w14:paraId="3B870D14" w14:textId="77777777" w:rsidR="006D2651" w:rsidRPr="006D2651" w:rsidRDefault="006D2651" w:rsidP="006D2651">
      <w:pPr>
        <w:pStyle w:val="ListParagraph"/>
        <w:numPr>
          <w:ilvl w:val="0"/>
          <w:numId w:val="15"/>
        </w:numPr>
        <w:spacing w:after="80"/>
        <w:jc w:val="both"/>
        <w:rPr>
          <w:rFonts w:ascii="Times New Roman" w:hAnsi="Times New Roman"/>
          <w:sz w:val="20"/>
          <w:szCs w:val="20"/>
        </w:rPr>
      </w:pPr>
      <w:r w:rsidRPr="006D2651">
        <w:rPr>
          <w:rFonts w:ascii="Times New Roman" w:hAnsi="Times New Roman"/>
          <w:sz w:val="20"/>
          <w:szCs w:val="20"/>
        </w:rPr>
        <w:t xml:space="preserve">optimization of the equipment and facilities such as, electric motors, metering systems, SCADA, firefighting required, based on an assessment of the appropriate available technology; </w:t>
      </w:r>
    </w:p>
    <w:p w14:paraId="470D7C00" w14:textId="77777777" w:rsidR="006D2651" w:rsidRPr="006D2651" w:rsidRDefault="006D2651" w:rsidP="006D2651">
      <w:pPr>
        <w:pStyle w:val="ListParagraph"/>
        <w:numPr>
          <w:ilvl w:val="0"/>
          <w:numId w:val="15"/>
        </w:numPr>
        <w:spacing w:after="80"/>
        <w:jc w:val="both"/>
        <w:rPr>
          <w:rFonts w:ascii="Times New Roman" w:hAnsi="Times New Roman"/>
          <w:sz w:val="20"/>
          <w:szCs w:val="20"/>
        </w:rPr>
      </w:pPr>
      <w:r w:rsidRPr="006D2651">
        <w:rPr>
          <w:rFonts w:ascii="Times New Roman" w:hAnsi="Times New Roman"/>
          <w:sz w:val="20"/>
          <w:szCs w:val="20"/>
        </w:rPr>
        <w:t>spur lines</w:t>
      </w:r>
    </w:p>
    <w:p w14:paraId="6B5AEDA1" w14:textId="77777777" w:rsidR="006D2651" w:rsidRPr="006D2651" w:rsidRDefault="006D2651" w:rsidP="006D2651">
      <w:pPr>
        <w:pStyle w:val="ListParagraph"/>
        <w:numPr>
          <w:ilvl w:val="0"/>
          <w:numId w:val="15"/>
        </w:numPr>
        <w:spacing w:after="80"/>
        <w:jc w:val="both"/>
        <w:rPr>
          <w:rFonts w:ascii="Times New Roman" w:hAnsi="Times New Roman"/>
          <w:sz w:val="20"/>
          <w:szCs w:val="20"/>
        </w:rPr>
      </w:pPr>
      <w:r w:rsidRPr="006D2651">
        <w:rPr>
          <w:rFonts w:ascii="Times New Roman" w:hAnsi="Times New Roman"/>
          <w:sz w:val="20"/>
          <w:szCs w:val="20"/>
        </w:rPr>
        <w:lastRenderedPageBreak/>
        <w:t xml:space="preserve">capital cost incurred for permissions from relevant authorities, compensation, insurance, project management and engineering, corporate environmental responsibility, contingencies applicable for laying the petroleum and petroleum products pipeline and; </w:t>
      </w:r>
    </w:p>
    <w:p w14:paraId="1A5B2D54" w14:textId="77777777" w:rsidR="006D2651" w:rsidRPr="006D2651" w:rsidRDefault="006D2651" w:rsidP="006D2651">
      <w:pPr>
        <w:pStyle w:val="ListParagraph"/>
        <w:numPr>
          <w:ilvl w:val="0"/>
          <w:numId w:val="15"/>
        </w:numPr>
        <w:jc w:val="both"/>
        <w:rPr>
          <w:rFonts w:ascii="Times New Roman" w:hAnsi="Times New Roman"/>
          <w:sz w:val="20"/>
          <w:szCs w:val="20"/>
        </w:rPr>
      </w:pPr>
      <w:r w:rsidRPr="006D2651">
        <w:rPr>
          <w:rFonts w:ascii="Times New Roman" w:hAnsi="Times New Roman"/>
          <w:sz w:val="20"/>
          <w:szCs w:val="20"/>
        </w:rPr>
        <w:t>assessment of the costs of major equipment and facilities in the petroleum and petroleum product pipeline, laying or building costs, project management consultancy and pre-operative expenditure:</w:t>
      </w:r>
    </w:p>
    <w:p w14:paraId="36E6C276" w14:textId="075A8C0B" w:rsidR="006D2651" w:rsidRPr="00C34994" w:rsidRDefault="006D2651" w:rsidP="00C34994">
      <w:pPr>
        <w:pStyle w:val="ListParagraph"/>
        <w:numPr>
          <w:ilvl w:val="0"/>
          <w:numId w:val="4"/>
        </w:numPr>
        <w:ind w:left="357" w:hanging="357"/>
        <w:contextualSpacing w:val="0"/>
        <w:jc w:val="both"/>
        <w:rPr>
          <w:rFonts w:ascii="Times New Roman" w:hAnsi="Times New Roman"/>
          <w:b/>
          <w:bCs/>
          <w:sz w:val="20"/>
          <w:szCs w:val="20"/>
        </w:rPr>
      </w:pPr>
      <w:r w:rsidRPr="00C34994">
        <w:rPr>
          <w:rFonts w:ascii="Times New Roman" w:hAnsi="Times New Roman"/>
          <w:b/>
          <w:bCs/>
          <w:sz w:val="20"/>
          <w:szCs w:val="20"/>
        </w:rPr>
        <w:t>Operating costs</w:t>
      </w:r>
    </w:p>
    <w:p w14:paraId="4DBF05A1" w14:textId="77777777" w:rsidR="006D2651" w:rsidRPr="006D2651" w:rsidRDefault="006D2651" w:rsidP="006D2651">
      <w:pPr>
        <w:pStyle w:val="ListParagraph"/>
        <w:spacing w:after="80"/>
        <w:ind w:left="357"/>
        <w:contextualSpacing w:val="0"/>
        <w:jc w:val="both"/>
        <w:rPr>
          <w:rFonts w:ascii="Times New Roman" w:hAnsi="Times New Roman"/>
          <w:sz w:val="20"/>
          <w:szCs w:val="20"/>
        </w:rPr>
      </w:pPr>
      <w:r w:rsidRPr="006D2651">
        <w:rPr>
          <w:rFonts w:ascii="Times New Roman" w:hAnsi="Times New Roman"/>
          <w:sz w:val="20"/>
          <w:szCs w:val="20"/>
        </w:rPr>
        <w:t>Operating costs</w:t>
      </w:r>
      <w:r w:rsidRPr="006D2651">
        <w:rPr>
          <w:rStyle w:val="FootnoteReference"/>
          <w:rFonts w:ascii="Times New Roman" w:hAnsi="Times New Roman"/>
          <w:sz w:val="20"/>
          <w:szCs w:val="20"/>
        </w:rPr>
        <w:footnoteReference w:id="5"/>
      </w:r>
      <w:r w:rsidRPr="006D2651">
        <w:rPr>
          <w:rFonts w:ascii="Times New Roman" w:hAnsi="Times New Roman"/>
          <w:sz w:val="20"/>
          <w:szCs w:val="20"/>
        </w:rPr>
        <w:t xml:space="preserve"> required in the operation and maintenance of the petroleum and petroleum product pipeline over its economic life shall be computed, on an actual basis covering following functional heads:</w:t>
      </w:r>
    </w:p>
    <w:p w14:paraId="3447C662"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Power for Mainline Pumping Units;</w:t>
      </w:r>
    </w:p>
    <w:p w14:paraId="40926FB9"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Chemicals;</w:t>
      </w:r>
    </w:p>
    <w:p w14:paraId="4CD4E90B"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Utilities: power &amp; water;</w:t>
      </w:r>
    </w:p>
    <w:p w14:paraId="1EFD26DC"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 xml:space="preserve">Salaries and wages; </w:t>
      </w:r>
    </w:p>
    <w:p w14:paraId="70C893EB"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 xml:space="preserve">Repairs and maintenance; </w:t>
      </w:r>
    </w:p>
    <w:p w14:paraId="59DFA1F2" w14:textId="77777777" w:rsidR="006D2651" w:rsidRPr="006D2651" w:rsidRDefault="006D2651" w:rsidP="006D2651">
      <w:pPr>
        <w:pStyle w:val="ListParagraph"/>
        <w:numPr>
          <w:ilvl w:val="0"/>
          <w:numId w:val="16"/>
        </w:numPr>
        <w:jc w:val="both"/>
        <w:rPr>
          <w:rFonts w:ascii="Times New Roman" w:hAnsi="Times New Roman"/>
          <w:sz w:val="20"/>
          <w:szCs w:val="20"/>
        </w:rPr>
      </w:pPr>
      <w:proofErr w:type="spellStart"/>
      <w:r w:rsidRPr="006D2651">
        <w:rPr>
          <w:rFonts w:ascii="Times New Roman" w:hAnsi="Times New Roman"/>
          <w:sz w:val="20"/>
          <w:szCs w:val="20"/>
        </w:rPr>
        <w:t>RoW</w:t>
      </w:r>
      <w:proofErr w:type="spellEnd"/>
      <w:r w:rsidRPr="006D2651">
        <w:rPr>
          <w:rFonts w:ascii="Times New Roman" w:hAnsi="Times New Roman"/>
          <w:sz w:val="20"/>
          <w:szCs w:val="20"/>
        </w:rPr>
        <w:t xml:space="preserve"> Surveillance;</w:t>
      </w:r>
    </w:p>
    <w:p w14:paraId="73549940"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Administrative overheads [to the extend not classifiable under sub-clause (</w:t>
      </w:r>
      <w:proofErr w:type="spellStart"/>
      <w:r w:rsidRPr="006D2651">
        <w:rPr>
          <w:rFonts w:ascii="Times New Roman" w:hAnsi="Times New Roman"/>
          <w:sz w:val="20"/>
          <w:szCs w:val="20"/>
        </w:rPr>
        <w:t>i</w:t>
      </w:r>
      <w:proofErr w:type="spellEnd"/>
      <w:r w:rsidRPr="006D2651">
        <w:rPr>
          <w:rFonts w:ascii="Times New Roman" w:hAnsi="Times New Roman"/>
          <w:sz w:val="20"/>
          <w:szCs w:val="20"/>
        </w:rPr>
        <w:t>) to sub-clause (vi)], related and also commensurate to the level of operations in the petroleum and petroleum product pipeline;</w:t>
      </w:r>
    </w:p>
    <w:p w14:paraId="0F883260"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z w:val="20"/>
          <w:szCs w:val="20"/>
        </w:rPr>
        <w:t>Transportation loss of the product in the pipeline shall be considered as 0.05 per cent of the actual volume, multiplied by the petroleum product price plus applicable transportation tariff</w:t>
      </w:r>
      <w:r w:rsidRPr="006D2651">
        <w:rPr>
          <w:rFonts w:ascii="Times New Roman" w:hAnsi="Times New Roman"/>
          <w:b/>
          <w:bCs/>
          <w:i/>
          <w:iCs/>
          <w:sz w:val="20"/>
          <w:szCs w:val="20"/>
        </w:rPr>
        <w:t>.</w:t>
      </w:r>
    </w:p>
    <w:p w14:paraId="770145BE" w14:textId="77777777" w:rsidR="006D2651" w:rsidRPr="006D2651" w:rsidRDefault="006D2651" w:rsidP="006D2651">
      <w:pPr>
        <w:pStyle w:val="ListParagraph"/>
        <w:spacing w:after="80"/>
        <w:ind w:left="1077"/>
        <w:contextualSpacing w:val="0"/>
        <w:jc w:val="both"/>
        <w:rPr>
          <w:rFonts w:ascii="Times New Roman" w:hAnsi="Times New Roman"/>
          <w:bCs/>
          <w:iCs/>
          <w:sz w:val="20"/>
          <w:szCs w:val="20"/>
        </w:rPr>
      </w:pPr>
      <w:r w:rsidRPr="006D2651">
        <w:rPr>
          <w:rFonts w:ascii="Times New Roman" w:hAnsi="Times New Roman"/>
          <w:bCs/>
          <w:iCs/>
          <w:sz w:val="20"/>
          <w:szCs w:val="20"/>
        </w:rPr>
        <w:t>Explanation: The price of the petroleum products shall be the average Refinery Transfer Price (RTP) at port as considered in the product pricing for buildup of Retail Selling Price for the applicable period.</w:t>
      </w:r>
    </w:p>
    <w:p w14:paraId="06DD850F" w14:textId="77777777" w:rsidR="006D2651" w:rsidRPr="006D2651" w:rsidRDefault="006D2651" w:rsidP="006D2651">
      <w:pPr>
        <w:pStyle w:val="ListParagraph"/>
        <w:numPr>
          <w:ilvl w:val="0"/>
          <w:numId w:val="16"/>
        </w:numPr>
        <w:jc w:val="both"/>
        <w:rPr>
          <w:rFonts w:ascii="Times New Roman" w:hAnsi="Times New Roman"/>
          <w:sz w:val="20"/>
          <w:szCs w:val="20"/>
        </w:rPr>
      </w:pPr>
      <w:r w:rsidRPr="006D2651">
        <w:rPr>
          <w:rFonts w:ascii="Times New Roman" w:hAnsi="Times New Roman"/>
          <w:spacing w:val="-1"/>
          <w:sz w:val="20"/>
          <w:szCs w:val="20"/>
        </w:rPr>
        <w:t>Adjustment of Miscellaneous income against Operating Costs: Financial Year-wise actual revenue earned by the entity from the regulated asset base, including miscellaneous income realizable from a fixed asset included in the capital employed or out of an expense considered as an operating cost, but excluding interest income, profit or loss on sale or transfer of any fixed or other asset, shall be worked out. If considering such actual revenue, return earned by the entity on the date of review results in more than the allowed rate of return as per clause 3 of Schedule B, then adjustment would be made in the tariff to make the return earned by the entity on the date of review equal to the allowed rate of return as per clause 3 of Schedule B.</w:t>
      </w:r>
    </w:p>
    <w:p w14:paraId="7B464DD0" w14:textId="77777777" w:rsidR="006D2651" w:rsidRPr="006D2651" w:rsidRDefault="006D2651" w:rsidP="006D2651">
      <w:pPr>
        <w:pStyle w:val="ListParagraph"/>
        <w:ind w:left="1789"/>
        <w:jc w:val="both"/>
        <w:rPr>
          <w:rFonts w:ascii="Times New Roman" w:hAnsi="Times New Roman"/>
          <w:bCs/>
          <w:iCs/>
          <w:sz w:val="20"/>
          <w:szCs w:val="20"/>
        </w:rPr>
      </w:pPr>
    </w:p>
    <w:p w14:paraId="53241BB3"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Volumes to be considered</w:t>
      </w:r>
    </w:p>
    <w:p w14:paraId="2B4774AD" w14:textId="77777777" w:rsidR="006D2651" w:rsidRPr="006D2651" w:rsidRDefault="006D2651" w:rsidP="006D2651">
      <w:pPr>
        <w:pStyle w:val="ListParagraph"/>
        <w:numPr>
          <w:ilvl w:val="0"/>
          <w:numId w:val="17"/>
        </w:numPr>
        <w:spacing w:after="80"/>
        <w:contextualSpacing w:val="0"/>
        <w:jc w:val="both"/>
        <w:rPr>
          <w:rFonts w:ascii="Times New Roman" w:hAnsi="Times New Roman"/>
          <w:sz w:val="20"/>
          <w:szCs w:val="20"/>
        </w:rPr>
      </w:pPr>
      <w:r w:rsidRPr="006D2651">
        <w:rPr>
          <w:rFonts w:ascii="Times New Roman" w:hAnsi="Times New Roman"/>
          <w:sz w:val="20"/>
          <w:szCs w:val="20"/>
        </w:rPr>
        <w:t>In respect to pipeline of an entity listed at sub-regulation (1) which has been approved by the board for change in tariff determination methodology from Schedule A to Schedule B, sub-regulation (2) or sub-regulation (3) of regulation 5, volumes shall be considered as under:</w:t>
      </w:r>
    </w:p>
    <w:p w14:paraId="6F53D1BC" w14:textId="77777777" w:rsidR="006D2651" w:rsidRPr="006D2651" w:rsidRDefault="006D2651" w:rsidP="006D2651">
      <w:pPr>
        <w:pStyle w:val="ListParagraph"/>
        <w:numPr>
          <w:ilvl w:val="0"/>
          <w:numId w:val="9"/>
        </w:numPr>
        <w:spacing w:after="80"/>
        <w:contextualSpacing w:val="0"/>
        <w:jc w:val="both"/>
        <w:rPr>
          <w:rFonts w:ascii="Times New Roman" w:hAnsi="Times New Roman"/>
          <w:sz w:val="20"/>
          <w:szCs w:val="20"/>
        </w:rPr>
      </w:pPr>
      <w:r w:rsidRPr="006D2651">
        <w:rPr>
          <w:rFonts w:ascii="Times New Roman" w:hAnsi="Times New Roman"/>
          <w:sz w:val="20"/>
          <w:szCs w:val="20"/>
        </w:rPr>
        <w:t>The volumes of petroleum and petroleum products to be considered as divisor in the determination of the unit petroleum and petroleum product pipeline tariff over the economic life of the project shall be computed on a normative or actual basis, whichever is higher.</w:t>
      </w:r>
    </w:p>
    <w:p w14:paraId="7DA1FEAC" w14:textId="77777777" w:rsidR="006D2651" w:rsidRPr="006D2651" w:rsidRDefault="006D2651" w:rsidP="006D2651">
      <w:pPr>
        <w:pStyle w:val="ListParagraph"/>
        <w:spacing w:after="80"/>
        <w:ind w:left="1080"/>
        <w:contextualSpacing w:val="0"/>
        <w:jc w:val="both"/>
        <w:rPr>
          <w:rFonts w:ascii="Times New Roman" w:hAnsi="Times New Roman"/>
          <w:sz w:val="20"/>
          <w:szCs w:val="20"/>
        </w:rPr>
      </w:pPr>
      <w:r w:rsidRPr="006D2651">
        <w:rPr>
          <w:rFonts w:ascii="Times New Roman" w:hAnsi="Times New Roman"/>
          <w:sz w:val="20"/>
          <w:szCs w:val="20"/>
        </w:rPr>
        <w:t>Provided that in case of future years, PNGRB shall consider the volumes taking into account various factors including normative volumes and likely future volumes as provided by the entity, if higher than the normative volumes.</w:t>
      </w:r>
    </w:p>
    <w:p w14:paraId="4AB4038C" w14:textId="77777777" w:rsidR="006D2651" w:rsidRPr="006D2651" w:rsidRDefault="006D2651" w:rsidP="006D2651">
      <w:pPr>
        <w:pStyle w:val="ListParagraph"/>
        <w:spacing w:after="80"/>
        <w:ind w:left="1080"/>
        <w:contextualSpacing w:val="0"/>
        <w:jc w:val="both"/>
        <w:rPr>
          <w:rFonts w:ascii="Times New Roman" w:hAnsi="Times New Roman"/>
          <w:sz w:val="20"/>
          <w:szCs w:val="20"/>
        </w:rPr>
      </w:pPr>
      <w:r w:rsidRPr="006D2651">
        <w:rPr>
          <w:rFonts w:ascii="Times New Roman" w:hAnsi="Times New Roman"/>
          <w:sz w:val="20"/>
          <w:szCs w:val="20"/>
        </w:rPr>
        <w:t>Volumes on normative basis shall be calculated as indicated below:</w:t>
      </w:r>
    </w:p>
    <w:p w14:paraId="76F8DD76" w14:textId="77777777" w:rsidR="006D2651" w:rsidRPr="006D2651" w:rsidRDefault="006D2651" w:rsidP="006D2651">
      <w:pPr>
        <w:pStyle w:val="ListParagraph"/>
        <w:numPr>
          <w:ilvl w:val="0"/>
          <w:numId w:val="8"/>
        </w:numPr>
        <w:jc w:val="both"/>
        <w:rPr>
          <w:rFonts w:ascii="Times New Roman" w:hAnsi="Times New Roman"/>
          <w:sz w:val="20"/>
          <w:szCs w:val="20"/>
        </w:rPr>
      </w:pPr>
      <w:r w:rsidRPr="006D2651">
        <w:rPr>
          <w:rFonts w:ascii="Times New Roman" w:hAnsi="Times New Roman"/>
          <w:sz w:val="20"/>
          <w:szCs w:val="20"/>
        </w:rPr>
        <w:t xml:space="preserve">The volume divisor for each of phase of petroleum and petroleum product pipeline for the first 10 years of its operations or any subsequent expansion in the capacity (other than expansion to which </w:t>
      </w:r>
      <w:r w:rsidRPr="006D2651">
        <w:rPr>
          <w:rFonts w:ascii="Times New Roman" w:hAnsi="Times New Roman"/>
          <w:sz w:val="20"/>
          <w:szCs w:val="20"/>
        </w:rPr>
        <w:lastRenderedPageBreak/>
        <w:t>clause 6(A)(1)(c) is applicable) shall be arrived by multiplying the applicable percentage utilization for the year, as per the basis indicated below, with seventy five per cent of the capacity of each phase of petroleum and petroleum product pipeline or of petroleum and petroleum product pipeline or each expansion of capacity, as the case may be:</w:t>
      </w:r>
    </w:p>
    <w:tbl>
      <w:tblPr>
        <w:tblW w:w="6237" w:type="dxa"/>
        <w:tblInd w:w="2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418"/>
        <w:gridCol w:w="1559"/>
        <w:gridCol w:w="1276"/>
      </w:tblGrid>
      <w:tr w:rsidR="006D2651" w:rsidRPr="006D2651" w14:paraId="39A9F57F" w14:textId="77777777" w:rsidTr="006D2651">
        <w:tc>
          <w:tcPr>
            <w:tcW w:w="1984" w:type="dxa"/>
            <w:shd w:val="clear" w:color="auto" w:fill="auto"/>
          </w:tcPr>
          <w:p w14:paraId="4454DC45" w14:textId="77777777" w:rsidR="006D2651" w:rsidRPr="006D2651" w:rsidRDefault="006D2651" w:rsidP="006D2651">
            <w:pPr>
              <w:spacing w:after="0"/>
              <w:jc w:val="both"/>
              <w:rPr>
                <w:rFonts w:ascii="Times New Roman" w:hAnsi="Times New Roman"/>
                <w:b/>
                <w:bCs/>
                <w:sz w:val="20"/>
                <w:szCs w:val="20"/>
              </w:rPr>
            </w:pPr>
            <w:r w:rsidRPr="006D2651">
              <w:rPr>
                <w:rFonts w:ascii="Times New Roman" w:hAnsi="Times New Roman"/>
                <w:b/>
                <w:bCs/>
                <w:sz w:val="20"/>
                <w:szCs w:val="20"/>
              </w:rPr>
              <w:t>Year of Pipeline operations</w:t>
            </w:r>
          </w:p>
        </w:tc>
        <w:tc>
          <w:tcPr>
            <w:tcW w:w="1418" w:type="dxa"/>
            <w:shd w:val="clear" w:color="auto" w:fill="auto"/>
          </w:tcPr>
          <w:p w14:paraId="06932C32"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Percentage utilization</w:t>
            </w:r>
          </w:p>
        </w:tc>
        <w:tc>
          <w:tcPr>
            <w:tcW w:w="1559" w:type="dxa"/>
          </w:tcPr>
          <w:p w14:paraId="57132792" w14:textId="77777777" w:rsidR="006D2651" w:rsidRPr="006D2651" w:rsidRDefault="006D2651" w:rsidP="006D2651">
            <w:pPr>
              <w:spacing w:after="0"/>
              <w:jc w:val="both"/>
              <w:rPr>
                <w:rFonts w:ascii="Times New Roman" w:hAnsi="Times New Roman"/>
                <w:b/>
                <w:bCs/>
                <w:sz w:val="20"/>
                <w:szCs w:val="20"/>
              </w:rPr>
            </w:pPr>
            <w:r w:rsidRPr="006D2651">
              <w:rPr>
                <w:rFonts w:ascii="Times New Roman" w:hAnsi="Times New Roman"/>
                <w:b/>
                <w:bCs/>
                <w:sz w:val="20"/>
                <w:szCs w:val="20"/>
              </w:rPr>
              <w:t>Year Pipeline operations</w:t>
            </w:r>
          </w:p>
        </w:tc>
        <w:tc>
          <w:tcPr>
            <w:tcW w:w="1276" w:type="dxa"/>
          </w:tcPr>
          <w:p w14:paraId="14E1E8BA"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Percentage utilization</w:t>
            </w:r>
          </w:p>
        </w:tc>
      </w:tr>
      <w:tr w:rsidR="006D2651" w:rsidRPr="006D2651" w14:paraId="3FA2D117" w14:textId="77777777" w:rsidTr="006D2651">
        <w:tc>
          <w:tcPr>
            <w:tcW w:w="1984" w:type="dxa"/>
            <w:shd w:val="clear" w:color="auto" w:fill="auto"/>
          </w:tcPr>
          <w:p w14:paraId="483BDF61"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 xml:space="preserve">First </w:t>
            </w:r>
          </w:p>
        </w:tc>
        <w:tc>
          <w:tcPr>
            <w:tcW w:w="1418" w:type="dxa"/>
            <w:shd w:val="clear" w:color="auto" w:fill="auto"/>
          </w:tcPr>
          <w:p w14:paraId="3BF568B3"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30%</w:t>
            </w:r>
          </w:p>
        </w:tc>
        <w:tc>
          <w:tcPr>
            <w:tcW w:w="1559" w:type="dxa"/>
          </w:tcPr>
          <w:p w14:paraId="50BE7A69"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Sixth</w:t>
            </w:r>
          </w:p>
        </w:tc>
        <w:tc>
          <w:tcPr>
            <w:tcW w:w="1276" w:type="dxa"/>
          </w:tcPr>
          <w:p w14:paraId="366AF0C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60%</w:t>
            </w:r>
          </w:p>
        </w:tc>
      </w:tr>
      <w:tr w:rsidR="006D2651" w:rsidRPr="006D2651" w14:paraId="6F2841ED" w14:textId="77777777" w:rsidTr="006D2651">
        <w:tc>
          <w:tcPr>
            <w:tcW w:w="1984" w:type="dxa"/>
            <w:shd w:val="clear" w:color="auto" w:fill="auto"/>
          </w:tcPr>
          <w:p w14:paraId="643C22F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Second</w:t>
            </w:r>
          </w:p>
        </w:tc>
        <w:tc>
          <w:tcPr>
            <w:tcW w:w="1418" w:type="dxa"/>
            <w:shd w:val="clear" w:color="auto" w:fill="auto"/>
          </w:tcPr>
          <w:p w14:paraId="72154B3E"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35%</w:t>
            </w:r>
          </w:p>
        </w:tc>
        <w:tc>
          <w:tcPr>
            <w:tcW w:w="1559" w:type="dxa"/>
          </w:tcPr>
          <w:p w14:paraId="35F4859B"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Seventh</w:t>
            </w:r>
          </w:p>
        </w:tc>
        <w:tc>
          <w:tcPr>
            <w:tcW w:w="1276" w:type="dxa"/>
          </w:tcPr>
          <w:p w14:paraId="00B65D5C"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70%</w:t>
            </w:r>
          </w:p>
        </w:tc>
      </w:tr>
      <w:tr w:rsidR="006D2651" w:rsidRPr="006D2651" w14:paraId="319CB237" w14:textId="77777777" w:rsidTr="006D2651">
        <w:tc>
          <w:tcPr>
            <w:tcW w:w="1984" w:type="dxa"/>
            <w:shd w:val="clear" w:color="auto" w:fill="auto"/>
          </w:tcPr>
          <w:p w14:paraId="76760114"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Third</w:t>
            </w:r>
          </w:p>
        </w:tc>
        <w:tc>
          <w:tcPr>
            <w:tcW w:w="1418" w:type="dxa"/>
            <w:shd w:val="clear" w:color="auto" w:fill="auto"/>
          </w:tcPr>
          <w:p w14:paraId="28145BDF"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40%</w:t>
            </w:r>
          </w:p>
        </w:tc>
        <w:tc>
          <w:tcPr>
            <w:tcW w:w="1559" w:type="dxa"/>
          </w:tcPr>
          <w:p w14:paraId="30153A6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Eighth</w:t>
            </w:r>
          </w:p>
        </w:tc>
        <w:tc>
          <w:tcPr>
            <w:tcW w:w="1276" w:type="dxa"/>
          </w:tcPr>
          <w:p w14:paraId="396D4FD7"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80%</w:t>
            </w:r>
          </w:p>
        </w:tc>
      </w:tr>
      <w:tr w:rsidR="006D2651" w:rsidRPr="006D2651" w14:paraId="06BEB5E7" w14:textId="77777777" w:rsidTr="006D2651">
        <w:trPr>
          <w:trHeight w:val="307"/>
        </w:trPr>
        <w:tc>
          <w:tcPr>
            <w:tcW w:w="1984" w:type="dxa"/>
            <w:shd w:val="clear" w:color="auto" w:fill="auto"/>
          </w:tcPr>
          <w:p w14:paraId="636DA9EA"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Fourth</w:t>
            </w:r>
          </w:p>
        </w:tc>
        <w:tc>
          <w:tcPr>
            <w:tcW w:w="1418" w:type="dxa"/>
            <w:shd w:val="clear" w:color="auto" w:fill="auto"/>
          </w:tcPr>
          <w:p w14:paraId="011C7038"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45%</w:t>
            </w:r>
          </w:p>
        </w:tc>
        <w:tc>
          <w:tcPr>
            <w:tcW w:w="1559" w:type="dxa"/>
          </w:tcPr>
          <w:p w14:paraId="3B09D1A3"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Ninth</w:t>
            </w:r>
          </w:p>
        </w:tc>
        <w:tc>
          <w:tcPr>
            <w:tcW w:w="1276" w:type="dxa"/>
          </w:tcPr>
          <w:p w14:paraId="02BC2406"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90%</w:t>
            </w:r>
          </w:p>
        </w:tc>
      </w:tr>
      <w:tr w:rsidR="006D2651" w:rsidRPr="006D2651" w14:paraId="6A4B15C2" w14:textId="77777777" w:rsidTr="006D2651">
        <w:tc>
          <w:tcPr>
            <w:tcW w:w="1984" w:type="dxa"/>
            <w:shd w:val="clear" w:color="auto" w:fill="auto"/>
          </w:tcPr>
          <w:p w14:paraId="5D55097A"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Fifth</w:t>
            </w:r>
          </w:p>
        </w:tc>
        <w:tc>
          <w:tcPr>
            <w:tcW w:w="1418" w:type="dxa"/>
            <w:shd w:val="clear" w:color="auto" w:fill="auto"/>
          </w:tcPr>
          <w:p w14:paraId="225984C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50%</w:t>
            </w:r>
          </w:p>
        </w:tc>
        <w:tc>
          <w:tcPr>
            <w:tcW w:w="1559" w:type="dxa"/>
          </w:tcPr>
          <w:p w14:paraId="5F467278"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Tenth and onwards</w:t>
            </w:r>
          </w:p>
        </w:tc>
        <w:tc>
          <w:tcPr>
            <w:tcW w:w="1276" w:type="dxa"/>
          </w:tcPr>
          <w:p w14:paraId="2CA252B1"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100%</w:t>
            </w:r>
          </w:p>
        </w:tc>
      </w:tr>
    </w:tbl>
    <w:p w14:paraId="5D8E9BED" w14:textId="77777777" w:rsidR="006D2651" w:rsidRPr="00C34994" w:rsidRDefault="006D2651" w:rsidP="006D2651">
      <w:pPr>
        <w:pStyle w:val="ListParagraph"/>
        <w:ind w:left="1440"/>
        <w:jc w:val="both"/>
        <w:rPr>
          <w:rFonts w:ascii="Times New Roman" w:hAnsi="Times New Roman"/>
          <w:b/>
          <w:bCs/>
          <w:i/>
          <w:iCs/>
          <w:sz w:val="4"/>
          <w:szCs w:val="4"/>
        </w:rPr>
      </w:pPr>
    </w:p>
    <w:p w14:paraId="4300B4E1" w14:textId="77777777" w:rsidR="006D2651" w:rsidRPr="006D2651" w:rsidRDefault="006D2651" w:rsidP="006D2651">
      <w:pPr>
        <w:pStyle w:val="ListParagraph"/>
        <w:numPr>
          <w:ilvl w:val="0"/>
          <w:numId w:val="8"/>
        </w:numPr>
        <w:jc w:val="both"/>
        <w:rPr>
          <w:rFonts w:ascii="Times New Roman" w:hAnsi="Times New Roman"/>
          <w:sz w:val="20"/>
          <w:szCs w:val="20"/>
        </w:rPr>
      </w:pPr>
      <w:r w:rsidRPr="006D2651">
        <w:rPr>
          <w:rFonts w:ascii="Times New Roman" w:hAnsi="Times New Roman"/>
          <w:sz w:val="20"/>
          <w:szCs w:val="20"/>
        </w:rPr>
        <w:t>The divisor for the eleventh and subsequent years of operation of each phase of petroleum and petroleum products pipeline or of petroleum and petroleum products pipeline or each expansion of capacity, as the case may be (other than expansion to which clause 6(A)(1)(c) is applicable) shall be equal to the seventy-five per cent of the capacity of petroleum and petroleum products pipeline or actual volumes, whichever is higher.</w:t>
      </w:r>
    </w:p>
    <w:p w14:paraId="0D27F727" w14:textId="77777777" w:rsidR="006D2651" w:rsidRPr="006D2651" w:rsidRDefault="006D2651" w:rsidP="006D2651">
      <w:pPr>
        <w:pStyle w:val="ListParagraph"/>
        <w:numPr>
          <w:ilvl w:val="0"/>
          <w:numId w:val="8"/>
        </w:numPr>
        <w:jc w:val="both"/>
        <w:rPr>
          <w:rFonts w:ascii="Times New Roman" w:hAnsi="Times New Roman"/>
          <w:b/>
          <w:bCs/>
          <w:i/>
          <w:iCs/>
          <w:sz w:val="20"/>
          <w:szCs w:val="20"/>
        </w:rPr>
      </w:pPr>
      <w:r w:rsidRPr="006D2651">
        <w:rPr>
          <w:rFonts w:ascii="Times New Roman" w:hAnsi="Times New Roman"/>
          <w:sz w:val="20"/>
          <w:szCs w:val="20"/>
        </w:rPr>
        <w:t>Notwithstanding anything contained in any other regulations, in case of addition of any petroleum and petroleum products source to a petroleum and petroleum products pipeline which comes any time after these regulations comes into force, any increase in the capacity of the pipeline, if any, because of such addition of such new source shall not be considered in the tariff determination for a period of five years from the date of commissioning of the pipeline connectivity due to the relevant source.</w:t>
      </w:r>
    </w:p>
    <w:p w14:paraId="51415DB9" w14:textId="77777777" w:rsidR="006D2651" w:rsidRPr="006D2651" w:rsidRDefault="006D2651" w:rsidP="006D2651">
      <w:pPr>
        <w:pStyle w:val="ListParagraph"/>
        <w:numPr>
          <w:ilvl w:val="0"/>
          <w:numId w:val="17"/>
        </w:numPr>
        <w:spacing w:after="80"/>
        <w:contextualSpacing w:val="0"/>
        <w:jc w:val="both"/>
        <w:rPr>
          <w:rFonts w:ascii="Times New Roman" w:hAnsi="Times New Roman"/>
          <w:sz w:val="20"/>
          <w:szCs w:val="20"/>
        </w:rPr>
      </w:pPr>
      <w:r w:rsidRPr="006D2651">
        <w:rPr>
          <w:rFonts w:ascii="Times New Roman" w:hAnsi="Times New Roman"/>
          <w:sz w:val="20"/>
          <w:szCs w:val="20"/>
        </w:rPr>
        <w:t>Notwithstanding anything contained in any regulations made under the Act, 350 working days shall be considered in a year for the purpose of tariff determination under these regulations.</w:t>
      </w:r>
    </w:p>
    <w:p w14:paraId="53B551C8" w14:textId="77777777" w:rsidR="006D2651" w:rsidRPr="006D2651" w:rsidRDefault="006D2651" w:rsidP="006D2651">
      <w:pPr>
        <w:pStyle w:val="ListParagraph"/>
        <w:spacing w:after="80"/>
        <w:ind w:left="360"/>
        <w:contextualSpacing w:val="0"/>
        <w:jc w:val="both"/>
        <w:rPr>
          <w:rFonts w:ascii="Times New Roman" w:hAnsi="Times New Roman"/>
          <w:sz w:val="20"/>
          <w:szCs w:val="20"/>
        </w:rPr>
      </w:pPr>
      <w:r w:rsidRPr="006D2651">
        <w:rPr>
          <w:rFonts w:ascii="Times New Roman" w:hAnsi="Times New Roman"/>
          <w:sz w:val="20"/>
          <w:szCs w:val="20"/>
        </w:rPr>
        <w:t>Provided that in respect to pipeline of an entity listed at sub-regulation (1) of regulation 5, which has been approved by the board for change in tariff determination methodology from Schedule A to Schedule B, the volumes to be considered for first 10 years of operation shall be counted from the date of start of pipeline operation and not from the date on which the change in tariff determination methodology from Schedule A to Schedule B has been accepted by the Board.</w:t>
      </w:r>
    </w:p>
    <w:p w14:paraId="6E0F3BBF"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Adjustment of volume variation in Tariff computation</w:t>
      </w:r>
    </w:p>
    <w:p w14:paraId="59740346" w14:textId="77777777" w:rsidR="006D2651" w:rsidRPr="006D2651" w:rsidRDefault="006D2651" w:rsidP="006D2651">
      <w:pPr>
        <w:spacing w:after="80"/>
        <w:ind w:left="357"/>
        <w:jc w:val="both"/>
        <w:rPr>
          <w:rFonts w:ascii="Times New Roman" w:hAnsi="Times New Roman"/>
          <w:sz w:val="20"/>
          <w:szCs w:val="20"/>
        </w:rPr>
      </w:pPr>
      <w:r w:rsidRPr="006D2651">
        <w:rPr>
          <w:rFonts w:ascii="Times New Roman" w:hAnsi="Times New Roman"/>
          <w:sz w:val="20"/>
          <w:szCs w:val="20"/>
        </w:rPr>
        <w:t>In respect to pipeline of an entity listed at sub-regulation (1) which has been approved by the board for change in tariff determination methodology from Schedule A to Schedule B, sub-regulation (2) or sub-regulation (3) of regulation 5, adjustment of volume variations shall be considered as under:</w:t>
      </w:r>
    </w:p>
    <w:p w14:paraId="52AE7C0E" w14:textId="77777777" w:rsidR="006D2651" w:rsidRPr="006D2651" w:rsidRDefault="006D2651" w:rsidP="006D2651">
      <w:pPr>
        <w:pStyle w:val="ListParagraph"/>
        <w:numPr>
          <w:ilvl w:val="0"/>
          <w:numId w:val="23"/>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Adjustment shall be carried out in the normative volumes considered as per clause 6(A)(1) where normative being higher than actual volumes. The extent of adjustment shall be maximum </w:t>
      </w:r>
      <w:proofErr w:type="spellStart"/>
      <w:r w:rsidRPr="006D2651">
        <w:rPr>
          <w:rFonts w:ascii="Times New Roman" w:hAnsi="Times New Roman"/>
          <w:sz w:val="20"/>
          <w:szCs w:val="20"/>
        </w:rPr>
        <w:t>upto</w:t>
      </w:r>
      <w:proofErr w:type="spellEnd"/>
      <w:r w:rsidRPr="006D2651">
        <w:rPr>
          <w:rFonts w:ascii="Times New Roman" w:hAnsi="Times New Roman"/>
          <w:sz w:val="20"/>
          <w:szCs w:val="20"/>
        </w:rPr>
        <w:t xml:space="preserve"> the difference between actual volumes higher than the normative volumes considered in any of the year(s) of the economic life of the pipeline.</w:t>
      </w:r>
    </w:p>
    <w:p w14:paraId="0ADA06F2" w14:textId="4E04CE8D" w:rsidR="006D2651" w:rsidRDefault="006D2651" w:rsidP="006D2651">
      <w:pPr>
        <w:pStyle w:val="ListParagraph"/>
        <w:numPr>
          <w:ilvl w:val="0"/>
          <w:numId w:val="23"/>
        </w:numPr>
        <w:spacing w:after="80"/>
        <w:contextualSpacing w:val="0"/>
        <w:jc w:val="both"/>
        <w:rPr>
          <w:rFonts w:ascii="Times New Roman" w:hAnsi="Times New Roman"/>
          <w:sz w:val="20"/>
          <w:szCs w:val="20"/>
        </w:rPr>
      </w:pPr>
      <w:r w:rsidRPr="006D2651">
        <w:rPr>
          <w:rFonts w:ascii="Times New Roman" w:hAnsi="Times New Roman"/>
          <w:sz w:val="20"/>
          <w:szCs w:val="20"/>
        </w:rPr>
        <w:t>An audited statement showing actual volume shall be submitted by the entity to Board within three months after the conclusion of each financial year of petroleum and petroleum products pipeline operations to enable the Board to advise the necessary adjustments.</w:t>
      </w:r>
    </w:p>
    <w:p w14:paraId="7B89175F" w14:textId="2E84D5B3" w:rsidR="0099442F" w:rsidRPr="0099442F" w:rsidRDefault="0099442F" w:rsidP="0099442F">
      <w:pPr>
        <w:pStyle w:val="ListParagraph"/>
        <w:spacing w:after="80"/>
        <w:ind w:left="717"/>
        <w:contextualSpacing w:val="0"/>
        <w:jc w:val="both"/>
        <w:rPr>
          <w:rFonts w:ascii="Times New Roman" w:hAnsi="Times New Roman"/>
          <w:sz w:val="10"/>
          <w:szCs w:val="10"/>
        </w:rPr>
      </w:pPr>
    </w:p>
    <w:p w14:paraId="69492DEE" w14:textId="77777777" w:rsidR="006D2651" w:rsidRPr="006D2651" w:rsidRDefault="006D2651" w:rsidP="006D2651">
      <w:pPr>
        <w:pStyle w:val="ListParagraph"/>
        <w:numPr>
          <w:ilvl w:val="0"/>
          <w:numId w:val="23"/>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The tariff so adjusted shall also be applicable for the subsequent period till the same is modified, adjusted, or reviewed. </w:t>
      </w:r>
    </w:p>
    <w:p w14:paraId="202AA726" w14:textId="091DA3D7" w:rsidR="00C90AAE" w:rsidRPr="006D2651" w:rsidRDefault="006D2651" w:rsidP="006D2651">
      <w:pPr>
        <w:pStyle w:val="ListParagraph"/>
        <w:spacing w:after="80"/>
        <w:ind w:left="357"/>
        <w:contextualSpacing w:val="0"/>
        <w:jc w:val="both"/>
        <w:rPr>
          <w:rFonts w:ascii="Times New Roman" w:hAnsi="Times New Roman"/>
          <w:sz w:val="20"/>
          <w:szCs w:val="20"/>
        </w:rPr>
      </w:pPr>
      <w:r w:rsidRPr="006D2651">
        <w:rPr>
          <w:rFonts w:ascii="Times New Roman" w:hAnsi="Times New Roman"/>
          <w:sz w:val="20"/>
          <w:szCs w:val="20"/>
        </w:rPr>
        <w:t>An illustration for volume adjustment is as follows:</w:t>
      </w:r>
    </w:p>
    <w:p w14:paraId="75D4E3EC" w14:textId="77777777" w:rsidR="006D2651" w:rsidRPr="006D2651" w:rsidRDefault="006D2651" w:rsidP="006D2651">
      <w:pPr>
        <w:spacing w:after="120"/>
        <w:ind w:left="357"/>
        <w:rPr>
          <w:rFonts w:ascii="Times New Roman" w:hAnsi="Times New Roman"/>
          <w:b/>
          <w:bCs/>
          <w:sz w:val="20"/>
          <w:szCs w:val="20"/>
        </w:rPr>
      </w:pPr>
      <w:r w:rsidRPr="006D2651">
        <w:rPr>
          <w:rFonts w:ascii="Times New Roman" w:hAnsi="Times New Roman"/>
          <w:b/>
          <w:bCs/>
          <w:sz w:val="20"/>
          <w:szCs w:val="20"/>
        </w:rPr>
        <w:t>Name of Pipeline: XYZ</w:t>
      </w:r>
    </w:p>
    <w:p w14:paraId="0338CDAC" w14:textId="77777777" w:rsidR="006D2651" w:rsidRPr="006D2651" w:rsidRDefault="006D2651" w:rsidP="006D2651">
      <w:pPr>
        <w:pStyle w:val="ListParagraph"/>
        <w:numPr>
          <w:ilvl w:val="0"/>
          <w:numId w:val="21"/>
        </w:numPr>
        <w:spacing w:after="0"/>
        <w:rPr>
          <w:rFonts w:ascii="Times New Roman" w:hAnsi="Times New Roman"/>
          <w:sz w:val="20"/>
          <w:szCs w:val="20"/>
        </w:rPr>
      </w:pPr>
      <w:r w:rsidRPr="006D2651">
        <w:rPr>
          <w:rFonts w:ascii="Times New Roman" w:hAnsi="Times New Roman"/>
          <w:sz w:val="20"/>
          <w:szCs w:val="20"/>
        </w:rPr>
        <w:t>Volumes at the time of inception</w:t>
      </w:r>
    </w:p>
    <w:tbl>
      <w:tblPr>
        <w:tblW w:w="4624" w:type="pct"/>
        <w:tblInd w:w="704" w:type="dxa"/>
        <w:tblLayout w:type="fixed"/>
        <w:tblLook w:val="04A0" w:firstRow="1" w:lastRow="0" w:firstColumn="1" w:lastColumn="0" w:noHBand="0" w:noVBand="1"/>
      </w:tblPr>
      <w:tblGrid>
        <w:gridCol w:w="2897"/>
        <w:gridCol w:w="571"/>
        <w:gridCol w:w="571"/>
        <w:gridCol w:w="572"/>
        <w:gridCol w:w="574"/>
        <w:gridCol w:w="578"/>
        <w:gridCol w:w="578"/>
        <w:gridCol w:w="578"/>
        <w:gridCol w:w="578"/>
        <w:gridCol w:w="578"/>
        <w:gridCol w:w="572"/>
      </w:tblGrid>
      <w:tr w:rsidR="006D2651" w:rsidRPr="006D2651" w14:paraId="3513DCA6" w14:textId="77777777" w:rsidTr="006D2651">
        <w:trPr>
          <w:trHeight w:val="314"/>
        </w:trPr>
        <w:tc>
          <w:tcPr>
            <w:tcW w:w="1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6F98E"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19108DA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2B176B68"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3C80348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Y3</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1D6CA87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Y4</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6C86B8C3"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Y5</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076AF626"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Y6</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2D71B31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Y7</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7DF08EC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Y8</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10A1B006"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Y9</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25EAA04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Y10</w:t>
            </w:r>
          </w:p>
        </w:tc>
      </w:tr>
      <w:tr w:rsidR="006D2651" w:rsidRPr="006D2651" w14:paraId="1707942B" w14:textId="77777777" w:rsidTr="006D2651">
        <w:trPr>
          <w:trHeight w:val="314"/>
        </w:trPr>
        <w:tc>
          <w:tcPr>
            <w:tcW w:w="1675" w:type="pct"/>
            <w:tcBorders>
              <w:top w:val="nil"/>
              <w:left w:val="single" w:sz="4" w:space="0" w:color="auto"/>
              <w:bottom w:val="single" w:sz="4" w:space="0" w:color="auto"/>
              <w:right w:val="single" w:sz="4" w:space="0" w:color="auto"/>
            </w:tcBorders>
            <w:shd w:val="clear" w:color="auto" w:fill="auto"/>
            <w:noWrap/>
            <w:vAlign w:val="center"/>
            <w:hideMark/>
          </w:tcPr>
          <w:p w14:paraId="560494C2"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lastRenderedPageBreak/>
              <w:t>Capacity of Pipeline (MMTPA)</w:t>
            </w:r>
          </w:p>
        </w:tc>
        <w:tc>
          <w:tcPr>
            <w:tcW w:w="330" w:type="pct"/>
            <w:tcBorders>
              <w:top w:val="nil"/>
              <w:left w:val="nil"/>
              <w:bottom w:val="single" w:sz="4" w:space="0" w:color="auto"/>
              <w:right w:val="single" w:sz="4" w:space="0" w:color="auto"/>
            </w:tcBorders>
            <w:shd w:val="clear" w:color="auto" w:fill="auto"/>
            <w:noWrap/>
            <w:vAlign w:val="center"/>
            <w:hideMark/>
          </w:tcPr>
          <w:p w14:paraId="08CBC91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0" w:type="pct"/>
            <w:tcBorders>
              <w:top w:val="nil"/>
              <w:left w:val="nil"/>
              <w:bottom w:val="single" w:sz="4" w:space="0" w:color="auto"/>
              <w:right w:val="single" w:sz="4" w:space="0" w:color="auto"/>
            </w:tcBorders>
            <w:shd w:val="clear" w:color="auto" w:fill="auto"/>
            <w:noWrap/>
            <w:vAlign w:val="center"/>
            <w:hideMark/>
          </w:tcPr>
          <w:p w14:paraId="0CEF5A4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1" w:type="pct"/>
            <w:tcBorders>
              <w:top w:val="nil"/>
              <w:left w:val="nil"/>
              <w:bottom w:val="single" w:sz="4" w:space="0" w:color="auto"/>
              <w:right w:val="single" w:sz="4" w:space="0" w:color="auto"/>
            </w:tcBorders>
            <w:shd w:val="clear" w:color="auto" w:fill="auto"/>
            <w:noWrap/>
            <w:vAlign w:val="center"/>
            <w:hideMark/>
          </w:tcPr>
          <w:p w14:paraId="5567B34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2" w:type="pct"/>
            <w:tcBorders>
              <w:top w:val="nil"/>
              <w:left w:val="nil"/>
              <w:bottom w:val="single" w:sz="4" w:space="0" w:color="auto"/>
              <w:right w:val="single" w:sz="4" w:space="0" w:color="auto"/>
            </w:tcBorders>
            <w:shd w:val="clear" w:color="auto" w:fill="auto"/>
            <w:noWrap/>
            <w:vAlign w:val="center"/>
            <w:hideMark/>
          </w:tcPr>
          <w:p w14:paraId="0655A84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4" w:type="pct"/>
            <w:tcBorders>
              <w:top w:val="nil"/>
              <w:left w:val="nil"/>
              <w:bottom w:val="single" w:sz="4" w:space="0" w:color="auto"/>
              <w:right w:val="single" w:sz="4" w:space="0" w:color="auto"/>
            </w:tcBorders>
            <w:shd w:val="clear" w:color="auto" w:fill="auto"/>
            <w:noWrap/>
            <w:vAlign w:val="center"/>
            <w:hideMark/>
          </w:tcPr>
          <w:p w14:paraId="1F264EF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4" w:type="pct"/>
            <w:tcBorders>
              <w:top w:val="nil"/>
              <w:left w:val="nil"/>
              <w:bottom w:val="single" w:sz="4" w:space="0" w:color="auto"/>
              <w:right w:val="single" w:sz="4" w:space="0" w:color="auto"/>
            </w:tcBorders>
            <w:shd w:val="clear" w:color="auto" w:fill="auto"/>
            <w:noWrap/>
            <w:vAlign w:val="center"/>
            <w:hideMark/>
          </w:tcPr>
          <w:p w14:paraId="1BB02E0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4" w:type="pct"/>
            <w:tcBorders>
              <w:top w:val="nil"/>
              <w:left w:val="nil"/>
              <w:bottom w:val="single" w:sz="4" w:space="0" w:color="auto"/>
              <w:right w:val="single" w:sz="4" w:space="0" w:color="auto"/>
            </w:tcBorders>
            <w:shd w:val="clear" w:color="auto" w:fill="auto"/>
            <w:noWrap/>
            <w:vAlign w:val="center"/>
            <w:hideMark/>
          </w:tcPr>
          <w:p w14:paraId="50E2834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4" w:type="pct"/>
            <w:tcBorders>
              <w:top w:val="nil"/>
              <w:left w:val="nil"/>
              <w:bottom w:val="single" w:sz="4" w:space="0" w:color="auto"/>
              <w:right w:val="single" w:sz="4" w:space="0" w:color="auto"/>
            </w:tcBorders>
            <w:shd w:val="clear" w:color="auto" w:fill="auto"/>
            <w:noWrap/>
            <w:vAlign w:val="center"/>
            <w:hideMark/>
          </w:tcPr>
          <w:p w14:paraId="1CD3389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4" w:type="pct"/>
            <w:tcBorders>
              <w:top w:val="nil"/>
              <w:left w:val="nil"/>
              <w:bottom w:val="single" w:sz="4" w:space="0" w:color="auto"/>
              <w:right w:val="single" w:sz="4" w:space="0" w:color="auto"/>
            </w:tcBorders>
            <w:shd w:val="clear" w:color="auto" w:fill="auto"/>
            <w:noWrap/>
            <w:vAlign w:val="center"/>
            <w:hideMark/>
          </w:tcPr>
          <w:p w14:paraId="6E2F1E7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31" w:type="pct"/>
            <w:tcBorders>
              <w:top w:val="nil"/>
              <w:left w:val="nil"/>
              <w:bottom w:val="single" w:sz="4" w:space="0" w:color="auto"/>
              <w:right w:val="single" w:sz="4" w:space="0" w:color="auto"/>
            </w:tcBorders>
            <w:shd w:val="clear" w:color="auto" w:fill="auto"/>
            <w:noWrap/>
            <w:vAlign w:val="center"/>
            <w:hideMark/>
          </w:tcPr>
          <w:p w14:paraId="20AFE59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r>
      <w:tr w:rsidR="006D2651" w:rsidRPr="006D2651" w14:paraId="2B485A1D" w14:textId="77777777" w:rsidTr="006D2651">
        <w:trPr>
          <w:trHeight w:val="314"/>
        </w:trPr>
        <w:tc>
          <w:tcPr>
            <w:tcW w:w="1675" w:type="pct"/>
            <w:tcBorders>
              <w:top w:val="nil"/>
              <w:left w:val="single" w:sz="4" w:space="0" w:color="auto"/>
              <w:bottom w:val="single" w:sz="4" w:space="0" w:color="auto"/>
              <w:right w:val="single" w:sz="4" w:space="0" w:color="auto"/>
            </w:tcBorders>
            <w:shd w:val="clear" w:color="auto" w:fill="auto"/>
            <w:noWrap/>
            <w:vAlign w:val="center"/>
            <w:hideMark/>
          </w:tcPr>
          <w:p w14:paraId="18CC05F2"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w:t>
            </w:r>
          </w:p>
        </w:tc>
        <w:tc>
          <w:tcPr>
            <w:tcW w:w="330" w:type="pct"/>
            <w:tcBorders>
              <w:top w:val="nil"/>
              <w:left w:val="nil"/>
              <w:bottom w:val="single" w:sz="4" w:space="0" w:color="auto"/>
              <w:right w:val="single" w:sz="4" w:space="0" w:color="auto"/>
            </w:tcBorders>
            <w:shd w:val="clear" w:color="auto" w:fill="auto"/>
            <w:noWrap/>
            <w:vAlign w:val="center"/>
            <w:hideMark/>
          </w:tcPr>
          <w:p w14:paraId="660CE3F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w:t>
            </w:r>
          </w:p>
        </w:tc>
        <w:tc>
          <w:tcPr>
            <w:tcW w:w="330" w:type="pct"/>
            <w:tcBorders>
              <w:top w:val="nil"/>
              <w:left w:val="nil"/>
              <w:bottom w:val="single" w:sz="4" w:space="0" w:color="auto"/>
              <w:right w:val="single" w:sz="4" w:space="0" w:color="auto"/>
            </w:tcBorders>
            <w:shd w:val="clear" w:color="auto" w:fill="auto"/>
            <w:noWrap/>
            <w:vAlign w:val="center"/>
            <w:hideMark/>
          </w:tcPr>
          <w:p w14:paraId="1792466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35</w:t>
            </w:r>
          </w:p>
        </w:tc>
        <w:tc>
          <w:tcPr>
            <w:tcW w:w="331" w:type="pct"/>
            <w:tcBorders>
              <w:top w:val="nil"/>
              <w:left w:val="nil"/>
              <w:bottom w:val="single" w:sz="4" w:space="0" w:color="auto"/>
              <w:right w:val="single" w:sz="4" w:space="0" w:color="auto"/>
            </w:tcBorders>
            <w:shd w:val="clear" w:color="auto" w:fill="auto"/>
            <w:noWrap/>
            <w:vAlign w:val="center"/>
            <w:hideMark/>
          </w:tcPr>
          <w:p w14:paraId="61A3EF2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40</w:t>
            </w:r>
          </w:p>
        </w:tc>
        <w:tc>
          <w:tcPr>
            <w:tcW w:w="332" w:type="pct"/>
            <w:tcBorders>
              <w:top w:val="nil"/>
              <w:left w:val="nil"/>
              <w:bottom w:val="single" w:sz="4" w:space="0" w:color="auto"/>
              <w:right w:val="single" w:sz="4" w:space="0" w:color="auto"/>
            </w:tcBorders>
            <w:shd w:val="clear" w:color="auto" w:fill="auto"/>
            <w:noWrap/>
            <w:vAlign w:val="center"/>
            <w:hideMark/>
          </w:tcPr>
          <w:p w14:paraId="691A902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w:t>
            </w:r>
          </w:p>
        </w:tc>
        <w:tc>
          <w:tcPr>
            <w:tcW w:w="334" w:type="pct"/>
            <w:tcBorders>
              <w:top w:val="nil"/>
              <w:left w:val="nil"/>
              <w:bottom w:val="single" w:sz="4" w:space="0" w:color="auto"/>
              <w:right w:val="single" w:sz="4" w:space="0" w:color="auto"/>
            </w:tcBorders>
            <w:shd w:val="clear" w:color="auto" w:fill="auto"/>
            <w:noWrap/>
            <w:vAlign w:val="center"/>
            <w:hideMark/>
          </w:tcPr>
          <w:p w14:paraId="3B19BC2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50</w:t>
            </w:r>
          </w:p>
        </w:tc>
        <w:tc>
          <w:tcPr>
            <w:tcW w:w="334" w:type="pct"/>
            <w:tcBorders>
              <w:top w:val="nil"/>
              <w:left w:val="nil"/>
              <w:bottom w:val="single" w:sz="4" w:space="0" w:color="auto"/>
              <w:right w:val="single" w:sz="4" w:space="0" w:color="auto"/>
            </w:tcBorders>
            <w:shd w:val="clear" w:color="auto" w:fill="auto"/>
            <w:noWrap/>
            <w:vAlign w:val="center"/>
            <w:hideMark/>
          </w:tcPr>
          <w:p w14:paraId="6553172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w:t>
            </w:r>
          </w:p>
        </w:tc>
        <w:tc>
          <w:tcPr>
            <w:tcW w:w="334" w:type="pct"/>
            <w:tcBorders>
              <w:top w:val="nil"/>
              <w:left w:val="nil"/>
              <w:bottom w:val="single" w:sz="4" w:space="0" w:color="auto"/>
              <w:right w:val="single" w:sz="4" w:space="0" w:color="auto"/>
            </w:tcBorders>
            <w:shd w:val="clear" w:color="auto" w:fill="auto"/>
            <w:noWrap/>
            <w:vAlign w:val="center"/>
            <w:hideMark/>
          </w:tcPr>
          <w:p w14:paraId="3FAC12D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70</w:t>
            </w:r>
          </w:p>
        </w:tc>
        <w:tc>
          <w:tcPr>
            <w:tcW w:w="334" w:type="pct"/>
            <w:tcBorders>
              <w:top w:val="nil"/>
              <w:left w:val="nil"/>
              <w:bottom w:val="single" w:sz="4" w:space="0" w:color="auto"/>
              <w:right w:val="single" w:sz="4" w:space="0" w:color="auto"/>
            </w:tcBorders>
            <w:shd w:val="clear" w:color="auto" w:fill="auto"/>
            <w:noWrap/>
            <w:vAlign w:val="center"/>
            <w:hideMark/>
          </w:tcPr>
          <w:p w14:paraId="475C0D5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80</w:t>
            </w:r>
          </w:p>
        </w:tc>
        <w:tc>
          <w:tcPr>
            <w:tcW w:w="334" w:type="pct"/>
            <w:tcBorders>
              <w:top w:val="nil"/>
              <w:left w:val="nil"/>
              <w:bottom w:val="single" w:sz="4" w:space="0" w:color="auto"/>
              <w:right w:val="single" w:sz="4" w:space="0" w:color="auto"/>
            </w:tcBorders>
            <w:shd w:val="clear" w:color="auto" w:fill="auto"/>
            <w:noWrap/>
            <w:vAlign w:val="center"/>
            <w:hideMark/>
          </w:tcPr>
          <w:p w14:paraId="317780E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w:t>
            </w:r>
          </w:p>
        </w:tc>
        <w:tc>
          <w:tcPr>
            <w:tcW w:w="331" w:type="pct"/>
            <w:tcBorders>
              <w:top w:val="nil"/>
              <w:left w:val="nil"/>
              <w:bottom w:val="single" w:sz="4" w:space="0" w:color="auto"/>
              <w:right w:val="single" w:sz="4" w:space="0" w:color="auto"/>
            </w:tcBorders>
            <w:shd w:val="clear" w:color="auto" w:fill="auto"/>
            <w:noWrap/>
            <w:vAlign w:val="center"/>
            <w:hideMark/>
          </w:tcPr>
          <w:p w14:paraId="50997C7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r>
      <w:tr w:rsidR="006D2651" w:rsidRPr="006D2651" w14:paraId="35D098D0" w14:textId="77777777" w:rsidTr="006D2651">
        <w:trPr>
          <w:trHeight w:val="314"/>
        </w:trPr>
        <w:tc>
          <w:tcPr>
            <w:tcW w:w="1675" w:type="pct"/>
            <w:tcBorders>
              <w:top w:val="nil"/>
              <w:left w:val="single" w:sz="4" w:space="0" w:color="auto"/>
              <w:bottom w:val="single" w:sz="4" w:space="0" w:color="auto"/>
              <w:right w:val="single" w:sz="4" w:space="0" w:color="auto"/>
            </w:tcBorders>
            <w:shd w:val="clear" w:color="auto" w:fill="auto"/>
            <w:noWrap/>
            <w:vAlign w:val="center"/>
            <w:hideMark/>
          </w:tcPr>
          <w:p w14:paraId="11B5DA90"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330" w:type="pct"/>
            <w:tcBorders>
              <w:top w:val="nil"/>
              <w:left w:val="nil"/>
              <w:bottom w:val="single" w:sz="4" w:space="0" w:color="auto"/>
              <w:right w:val="single" w:sz="4" w:space="0" w:color="auto"/>
            </w:tcBorders>
            <w:shd w:val="clear" w:color="auto" w:fill="auto"/>
            <w:noWrap/>
            <w:vAlign w:val="center"/>
            <w:hideMark/>
          </w:tcPr>
          <w:p w14:paraId="088E797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2.25</w:t>
            </w:r>
          </w:p>
        </w:tc>
        <w:tc>
          <w:tcPr>
            <w:tcW w:w="330" w:type="pct"/>
            <w:tcBorders>
              <w:top w:val="nil"/>
              <w:left w:val="nil"/>
              <w:bottom w:val="single" w:sz="4" w:space="0" w:color="auto"/>
              <w:right w:val="single" w:sz="4" w:space="0" w:color="auto"/>
            </w:tcBorders>
            <w:shd w:val="clear" w:color="auto" w:fill="auto"/>
            <w:noWrap/>
            <w:vAlign w:val="center"/>
            <w:hideMark/>
          </w:tcPr>
          <w:p w14:paraId="5CD78C9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2.63</w:t>
            </w:r>
          </w:p>
        </w:tc>
        <w:tc>
          <w:tcPr>
            <w:tcW w:w="331" w:type="pct"/>
            <w:tcBorders>
              <w:top w:val="nil"/>
              <w:left w:val="nil"/>
              <w:bottom w:val="single" w:sz="4" w:space="0" w:color="auto"/>
              <w:right w:val="single" w:sz="4" w:space="0" w:color="auto"/>
            </w:tcBorders>
            <w:shd w:val="clear" w:color="auto" w:fill="auto"/>
            <w:noWrap/>
            <w:vAlign w:val="center"/>
            <w:hideMark/>
          </w:tcPr>
          <w:p w14:paraId="5438A6E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3.00</w:t>
            </w:r>
          </w:p>
        </w:tc>
        <w:tc>
          <w:tcPr>
            <w:tcW w:w="332" w:type="pct"/>
            <w:tcBorders>
              <w:top w:val="nil"/>
              <w:left w:val="nil"/>
              <w:bottom w:val="single" w:sz="4" w:space="0" w:color="auto"/>
              <w:right w:val="single" w:sz="4" w:space="0" w:color="auto"/>
            </w:tcBorders>
            <w:shd w:val="clear" w:color="auto" w:fill="auto"/>
            <w:noWrap/>
            <w:vAlign w:val="center"/>
            <w:hideMark/>
          </w:tcPr>
          <w:p w14:paraId="1C682BB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3.38</w:t>
            </w:r>
          </w:p>
        </w:tc>
        <w:tc>
          <w:tcPr>
            <w:tcW w:w="334" w:type="pct"/>
            <w:tcBorders>
              <w:top w:val="nil"/>
              <w:left w:val="nil"/>
              <w:bottom w:val="single" w:sz="4" w:space="0" w:color="auto"/>
              <w:right w:val="single" w:sz="4" w:space="0" w:color="auto"/>
            </w:tcBorders>
            <w:shd w:val="clear" w:color="auto" w:fill="auto"/>
            <w:noWrap/>
            <w:vAlign w:val="center"/>
            <w:hideMark/>
          </w:tcPr>
          <w:p w14:paraId="6362A52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3.75</w:t>
            </w:r>
          </w:p>
        </w:tc>
        <w:tc>
          <w:tcPr>
            <w:tcW w:w="334" w:type="pct"/>
            <w:tcBorders>
              <w:top w:val="nil"/>
              <w:left w:val="nil"/>
              <w:bottom w:val="single" w:sz="4" w:space="0" w:color="auto"/>
              <w:right w:val="single" w:sz="4" w:space="0" w:color="auto"/>
            </w:tcBorders>
            <w:shd w:val="clear" w:color="auto" w:fill="auto"/>
            <w:noWrap/>
            <w:vAlign w:val="center"/>
            <w:hideMark/>
          </w:tcPr>
          <w:p w14:paraId="5A66016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4.50</w:t>
            </w:r>
          </w:p>
        </w:tc>
        <w:tc>
          <w:tcPr>
            <w:tcW w:w="334" w:type="pct"/>
            <w:tcBorders>
              <w:top w:val="nil"/>
              <w:left w:val="nil"/>
              <w:bottom w:val="single" w:sz="4" w:space="0" w:color="auto"/>
              <w:right w:val="single" w:sz="4" w:space="0" w:color="auto"/>
            </w:tcBorders>
            <w:shd w:val="clear" w:color="auto" w:fill="auto"/>
            <w:noWrap/>
            <w:vAlign w:val="center"/>
            <w:hideMark/>
          </w:tcPr>
          <w:p w14:paraId="16500C5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5.25</w:t>
            </w:r>
          </w:p>
        </w:tc>
        <w:tc>
          <w:tcPr>
            <w:tcW w:w="334" w:type="pct"/>
            <w:tcBorders>
              <w:top w:val="nil"/>
              <w:left w:val="nil"/>
              <w:bottom w:val="single" w:sz="4" w:space="0" w:color="auto"/>
              <w:right w:val="single" w:sz="4" w:space="0" w:color="auto"/>
            </w:tcBorders>
            <w:shd w:val="clear" w:color="auto" w:fill="auto"/>
            <w:noWrap/>
            <w:vAlign w:val="center"/>
            <w:hideMark/>
          </w:tcPr>
          <w:p w14:paraId="17F6CD4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6.00</w:t>
            </w:r>
          </w:p>
        </w:tc>
        <w:tc>
          <w:tcPr>
            <w:tcW w:w="334" w:type="pct"/>
            <w:tcBorders>
              <w:top w:val="nil"/>
              <w:left w:val="nil"/>
              <w:bottom w:val="single" w:sz="4" w:space="0" w:color="auto"/>
              <w:right w:val="single" w:sz="4" w:space="0" w:color="auto"/>
            </w:tcBorders>
            <w:shd w:val="clear" w:color="auto" w:fill="auto"/>
            <w:noWrap/>
            <w:vAlign w:val="center"/>
            <w:hideMark/>
          </w:tcPr>
          <w:p w14:paraId="722E354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6.75</w:t>
            </w:r>
          </w:p>
        </w:tc>
        <w:tc>
          <w:tcPr>
            <w:tcW w:w="331" w:type="pct"/>
            <w:tcBorders>
              <w:top w:val="nil"/>
              <w:left w:val="nil"/>
              <w:bottom w:val="single" w:sz="4" w:space="0" w:color="auto"/>
              <w:right w:val="single" w:sz="4" w:space="0" w:color="auto"/>
            </w:tcBorders>
            <w:shd w:val="clear" w:color="auto" w:fill="auto"/>
            <w:noWrap/>
            <w:vAlign w:val="center"/>
            <w:hideMark/>
          </w:tcPr>
          <w:p w14:paraId="71BE8A6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r>
    </w:tbl>
    <w:p w14:paraId="79F5C90F" w14:textId="5C68122B" w:rsidR="006D2651" w:rsidRPr="0099442F" w:rsidRDefault="006D2651" w:rsidP="006D2651">
      <w:pPr>
        <w:spacing w:after="0"/>
        <w:ind w:left="717"/>
        <w:rPr>
          <w:rFonts w:ascii="Times New Roman" w:hAnsi="Times New Roman"/>
          <w:sz w:val="8"/>
          <w:szCs w:val="8"/>
          <w:highlight w:val="yellow"/>
        </w:rPr>
      </w:pPr>
    </w:p>
    <w:tbl>
      <w:tblPr>
        <w:tblW w:w="5253" w:type="pct"/>
        <w:tblInd w:w="-431" w:type="dxa"/>
        <w:tblLayout w:type="fixed"/>
        <w:tblLook w:val="04A0" w:firstRow="1" w:lastRow="0" w:firstColumn="1" w:lastColumn="0" w:noHBand="0" w:noVBand="1"/>
      </w:tblPr>
      <w:tblGrid>
        <w:gridCol w:w="2995"/>
        <w:gridCol w:w="608"/>
        <w:gridCol w:w="610"/>
        <w:gridCol w:w="608"/>
        <w:gridCol w:w="610"/>
        <w:gridCol w:w="605"/>
        <w:gridCol w:w="607"/>
        <w:gridCol w:w="605"/>
        <w:gridCol w:w="607"/>
        <w:gridCol w:w="605"/>
        <w:gridCol w:w="613"/>
        <w:gridCol w:w="750"/>
      </w:tblGrid>
      <w:tr w:rsidR="006D2651" w:rsidRPr="006D2651" w14:paraId="6F253AE4" w14:textId="77777777" w:rsidTr="00C34994">
        <w:trPr>
          <w:trHeight w:val="311"/>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F3E21"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06F779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Y11</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F4BC28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Y12</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0871C93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Y13</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0415AF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Y14</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364A6AC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Y15</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5FEE1F1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Y16</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D2C93CB"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Y17</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22EC10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Y18</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16B084D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Y19</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CE5B8C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Y20</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63EF51E2"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Total</w:t>
            </w:r>
          </w:p>
        </w:tc>
      </w:tr>
      <w:tr w:rsidR="006D2651" w:rsidRPr="006D2651" w14:paraId="37AE712D" w14:textId="77777777" w:rsidTr="00C34994">
        <w:trPr>
          <w:trHeight w:val="311"/>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02513D56"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309" w:type="pct"/>
            <w:tcBorders>
              <w:top w:val="nil"/>
              <w:left w:val="nil"/>
              <w:bottom w:val="single" w:sz="4" w:space="0" w:color="auto"/>
              <w:right w:val="single" w:sz="4" w:space="0" w:color="auto"/>
            </w:tcBorders>
            <w:shd w:val="clear" w:color="auto" w:fill="auto"/>
            <w:noWrap/>
            <w:vAlign w:val="center"/>
            <w:hideMark/>
          </w:tcPr>
          <w:p w14:paraId="01AAAD2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10" w:type="pct"/>
            <w:tcBorders>
              <w:top w:val="nil"/>
              <w:left w:val="nil"/>
              <w:bottom w:val="single" w:sz="4" w:space="0" w:color="auto"/>
              <w:right w:val="single" w:sz="4" w:space="0" w:color="auto"/>
            </w:tcBorders>
            <w:shd w:val="clear" w:color="auto" w:fill="auto"/>
            <w:noWrap/>
            <w:vAlign w:val="center"/>
            <w:hideMark/>
          </w:tcPr>
          <w:p w14:paraId="0BC0E79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02816E7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10" w:type="pct"/>
            <w:tcBorders>
              <w:top w:val="nil"/>
              <w:left w:val="nil"/>
              <w:bottom w:val="single" w:sz="4" w:space="0" w:color="auto"/>
              <w:right w:val="single" w:sz="4" w:space="0" w:color="auto"/>
            </w:tcBorders>
            <w:shd w:val="clear" w:color="auto" w:fill="auto"/>
            <w:noWrap/>
            <w:vAlign w:val="center"/>
            <w:hideMark/>
          </w:tcPr>
          <w:p w14:paraId="3A77523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8" w:type="pct"/>
            <w:tcBorders>
              <w:top w:val="nil"/>
              <w:left w:val="nil"/>
              <w:bottom w:val="single" w:sz="4" w:space="0" w:color="auto"/>
              <w:right w:val="single" w:sz="4" w:space="0" w:color="auto"/>
            </w:tcBorders>
            <w:shd w:val="clear" w:color="auto" w:fill="auto"/>
            <w:noWrap/>
            <w:vAlign w:val="center"/>
            <w:hideMark/>
          </w:tcPr>
          <w:p w14:paraId="0E99FC3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446DA8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8" w:type="pct"/>
            <w:tcBorders>
              <w:top w:val="nil"/>
              <w:left w:val="nil"/>
              <w:bottom w:val="single" w:sz="4" w:space="0" w:color="auto"/>
              <w:right w:val="single" w:sz="4" w:space="0" w:color="auto"/>
            </w:tcBorders>
            <w:shd w:val="clear" w:color="auto" w:fill="auto"/>
            <w:noWrap/>
            <w:vAlign w:val="center"/>
            <w:hideMark/>
          </w:tcPr>
          <w:p w14:paraId="3DE1D91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1C51721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8" w:type="pct"/>
            <w:tcBorders>
              <w:top w:val="nil"/>
              <w:left w:val="nil"/>
              <w:bottom w:val="single" w:sz="4" w:space="0" w:color="auto"/>
              <w:right w:val="single" w:sz="4" w:space="0" w:color="auto"/>
            </w:tcBorders>
            <w:shd w:val="clear" w:color="auto" w:fill="auto"/>
            <w:noWrap/>
            <w:vAlign w:val="center"/>
            <w:hideMark/>
          </w:tcPr>
          <w:p w14:paraId="7B929B1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12" w:type="pct"/>
            <w:tcBorders>
              <w:top w:val="nil"/>
              <w:left w:val="nil"/>
              <w:bottom w:val="single" w:sz="4" w:space="0" w:color="auto"/>
              <w:right w:val="single" w:sz="4" w:space="0" w:color="auto"/>
            </w:tcBorders>
            <w:shd w:val="clear" w:color="auto" w:fill="auto"/>
            <w:noWrap/>
            <w:vAlign w:val="center"/>
            <w:hideMark/>
          </w:tcPr>
          <w:p w14:paraId="4253DCA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82" w:type="pct"/>
            <w:tcBorders>
              <w:top w:val="nil"/>
              <w:left w:val="nil"/>
              <w:bottom w:val="single" w:sz="4" w:space="0" w:color="auto"/>
              <w:right w:val="single" w:sz="4" w:space="0" w:color="auto"/>
            </w:tcBorders>
            <w:shd w:val="clear" w:color="auto" w:fill="auto"/>
            <w:noWrap/>
            <w:vAlign w:val="center"/>
            <w:hideMark/>
          </w:tcPr>
          <w:p w14:paraId="2644C7B7"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6D9EF08A" w14:textId="77777777" w:rsidTr="00C34994">
        <w:trPr>
          <w:trHeight w:val="311"/>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3A389FF1"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309" w:type="pct"/>
            <w:tcBorders>
              <w:top w:val="nil"/>
              <w:left w:val="nil"/>
              <w:bottom w:val="single" w:sz="4" w:space="0" w:color="auto"/>
              <w:right w:val="single" w:sz="4" w:space="0" w:color="auto"/>
            </w:tcBorders>
            <w:shd w:val="clear" w:color="auto" w:fill="auto"/>
            <w:noWrap/>
            <w:vAlign w:val="center"/>
            <w:hideMark/>
          </w:tcPr>
          <w:p w14:paraId="295CBD2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10" w:type="pct"/>
            <w:tcBorders>
              <w:top w:val="nil"/>
              <w:left w:val="nil"/>
              <w:bottom w:val="single" w:sz="4" w:space="0" w:color="auto"/>
              <w:right w:val="single" w:sz="4" w:space="0" w:color="auto"/>
            </w:tcBorders>
            <w:shd w:val="clear" w:color="auto" w:fill="auto"/>
            <w:noWrap/>
            <w:vAlign w:val="center"/>
            <w:hideMark/>
          </w:tcPr>
          <w:p w14:paraId="65D1BB3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9" w:type="pct"/>
            <w:tcBorders>
              <w:top w:val="nil"/>
              <w:left w:val="nil"/>
              <w:bottom w:val="single" w:sz="4" w:space="0" w:color="auto"/>
              <w:right w:val="single" w:sz="4" w:space="0" w:color="auto"/>
            </w:tcBorders>
            <w:shd w:val="clear" w:color="auto" w:fill="auto"/>
            <w:noWrap/>
            <w:vAlign w:val="center"/>
            <w:hideMark/>
          </w:tcPr>
          <w:p w14:paraId="3A08075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10" w:type="pct"/>
            <w:tcBorders>
              <w:top w:val="nil"/>
              <w:left w:val="nil"/>
              <w:bottom w:val="single" w:sz="4" w:space="0" w:color="auto"/>
              <w:right w:val="single" w:sz="4" w:space="0" w:color="auto"/>
            </w:tcBorders>
            <w:shd w:val="clear" w:color="auto" w:fill="auto"/>
            <w:noWrap/>
            <w:vAlign w:val="center"/>
            <w:hideMark/>
          </w:tcPr>
          <w:p w14:paraId="610E970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14:paraId="07C5D6F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9" w:type="pct"/>
            <w:tcBorders>
              <w:top w:val="nil"/>
              <w:left w:val="nil"/>
              <w:bottom w:val="single" w:sz="4" w:space="0" w:color="auto"/>
              <w:right w:val="single" w:sz="4" w:space="0" w:color="auto"/>
            </w:tcBorders>
            <w:shd w:val="clear" w:color="auto" w:fill="auto"/>
            <w:noWrap/>
            <w:vAlign w:val="center"/>
            <w:hideMark/>
          </w:tcPr>
          <w:p w14:paraId="4BD59F1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14:paraId="5D4641B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9" w:type="pct"/>
            <w:tcBorders>
              <w:top w:val="nil"/>
              <w:left w:val="nil"/>
              <w:bottom w:val="single" w:sz="4" w:space="0" w:color="auto"/>
              <w:right w:val="single" w:sz="4" w:space="0" w:color="auto"/>
            </w:tcBorders>
            <w:shd w:val="clear" w:color="auto" w:fill="auto"/>
            <w:noWrap/>
            <w:vAlign w:val="center"/>
            <w:hideMark/>
          </w:tcPr>
          <w:p w14:paraId="6B5451C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14:paraId="1CD193D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12" w:type="pct"/>
            <w:tcBorders>
              <w:top w:val="nil"/>
              <w:left w:val="nil"/>
              <w:bottom w:val="single" w:sz="4" w:space="0" w:color="auto"/>
              <w:right w:val="single" w:sz="4" w:space="0" w:color="auto"/>
            </w:tcBorders>
            <w:shd w:val="clear" w:color="auto" w:fill="auto"/>
            <w:noWrap/>
            <w:vAlign w:val="center"/>
            <w:hideMark/>
          </w:tcPr>
          <w:p w14:paraId="2F21451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14:paraId="2A648715"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37B60B4C" w14:textId="77777777" w:rsidTr="00C34994">
        <w:trPr>
          <w:trHeight w:val="311"/>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057EDC04"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309" w:type="pct"/>
            <w:tcBorders>
              <w:top w:val="nil"/>
              <w:left w:val="nil"/>
              <w:bottom w:val="single" w:sz="4" w:space="0" w:color="auto"/>
              <w:right w:val="single" w:sz="4" w:space="0" w:color="auto"/>
            </w:tcBorders>
            <w:shd w:val="clear" w:color="auto" w:fill="auto"/>
            <w:noWrap/>
            <w:vAlign w:val="center"/>
            <w:hideMark/>
          </w:tcPr>
          <w:p w14:paraId="6ECB3EE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10" w:type="pct"/>
            <w:tcBorders>
              <w:top w:val="nil"/>
              <w:left w:val="nil"/>
              <w:bottom w:val="single" w:sz="4" w:space="0" w:color="auto"/>
              <w:right w:val="single" w:sz="4" w:space="0" w:color="auto"/>
            </w:tcBorders>
            <w:shd w:val="clear" w:color="auto" w:fill="auto"/>
            <w:noWrap/>
            <w:vAlign w:val="center"/>
            <w:hideMark/>
          </w:tcPr>
          <w:p w14:paraId="0639C9C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9" w:type="pct"/>
            <w:tcBorders>
              <w:top w:val="nil"/>
              <w:left w:val="nil"/>
              <w:bottom w:val="single" w:sz="4" w:space="0" w:color="auto"/>
              <w:right w:val="single" w:sz="4" w:space="0" w:color="auto"/>
            </w:tcBorders>
            <w:shd w:val="clear" w:color="auto" w:fill="auto"/>
            <w:noWrap/>
            <w:vAlign w:val="center"/>
            <w:hideMark/>
          </w:tcPr>
          <w:p w14:paraId="71FF0D2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10" w:type="pct"/>
            <w:tcBorders>
              <w:top w:val="nil"/>
              <w:left w:val="nil"/>
              <w:bottom w:val="single" w:sz="4" w:space="0" w:color="auto"/>
              <w:right w:val="single" w:sz="4" w:space="0" w:color="auto"/>
            </w:tcBorders>
            <w:shd w:val="clear" w:color="auto" w:fill="auto"/>
            <w:noWrap/>
            <w:vAlign w:val="center"/>
            <w:hideMark/>
          </w:tcPr>
          <w:p w14:paraId="60A8183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8" w:type="pct"/>
            <w:tcBorders>
              <w:top w:val="nil"/>
              <w:left w:val="nil"/>
              <w:bottom w:val="single" w:sz="4" w:space="0" w:color="auto"/>
              <w:right w:val="single" w:sz="4" w:space="0" w:color="auto"/>
            </w:tcBorders>
            <w:shd w:val="clear" w:color="auto" w:fill="auto"/>
            <w:noWrap/>
            <w:vAlign w:val="center"/>
            <w:hideMark/>
          </w:tcPr>
          <w:p w14:paraId="2BB5AC7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9" w:type="pct"/>
            <w:tcBorders>
              <w:top w:val="nil"/>
              <w:left w:val="nil"/>
              <w:bottom w:val="single" w:sz="4" w:space="0" w:color="auto"/>
              <w:right w:val="single" w:sz="4" w:space="0" w:color="auto"/>
            </w:tcBorders>
            <w:shd w:val="clear" w:color="auto" w:fill="auto"/>
            <w:noWrap/>
            <w:vAlign w:val="center"/>
            <w:hideMark/>
          </w:tcPr>
          <w:p w14:paraId="73A5BA0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8" w:type="pct"/>
            <w:tcBorders>
              <w:top w:val="nil"/>
              <w:left w:val="nil"/>
              <w:bottom w:val="single" w:sz="4" w:space="0" w:color="auto"/>
              <w:right w:val="single" w:sz="4" w:space="0" w:color="auto"/>
            </w:tcBorders>
            <w:shd w:val="clear" w:color="auto" w:fill="auto"/>
            <w:noWrap/>
            <w:vAlign w:val="center"/>
            <w:hideMark/>
          </w:tcPr>
          <w:p w14:paraId="37DD865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9" w:type="pct"/>
            <w:tcBorders>
              <w:top w:val="nil"/>
              <w:left w:val="nil"/>
              <w:bottom w:val="single" w:sz="4" w:space="0" w:color="auto"/>
              <w:right w:val="single" w:sz="4" w:space="0" w:color="auto"/>
            </w:tcBorders>
            <w:shd w:val="clear" w:color="auto" w:fill="auto"/>
            <w:noWrap/>
            <w:vAlign w:val="center"/>
            <w:hideMark/>
          </w:tcPr>
          <w:p w14:paraId="48787B1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8" w:type="pct"/>
            <w:tcBorders>
              <w:top w:val="nil"/>
              <w:left w:val="nil"/>
              <w:bottom w:val="single" w:sz="4" w:space="0" w:color="auto"/>
              <w:right w:val="single" w:sz="4" w:space="0" w:color="auto"/>
            </w:tcBorders>
            <w:shd w:val="clear" w:color="auto" w:fill="auto"/>
            <w:noWrap/>
            <w:vAlign w:val="center"/>
            <w:hideMark/>
          </w:tcPr>
          <w:p w14:paraId="511640D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12" w:type="pct"/>
            <w:tcBorders>
              <w:top w:val="nil"/>
              <w:left w:val="nil"/>
              <w:bottom w:val="single" w:sz="4" w:space="0" w:color="auto"/>
              <w:right w:val="single" w:sz="4" w:space="0" w:color="auto"/>
            </w:tcBorders>
            <w:shd w:val="clear" w:color="auto" w:fill="auto"/>
            <w:noWrap/>
            <w:vAlign w:val="center"/>
            <w:hideMark/>
          </w:tcPr>
          <w:p w14:paraId="5DC2A07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82" w:type="pct"/>
            <w:tcBorders>
              <w:top w:val="nil"/>
              <w:left w:val="nil"/>
              <w:bottom w:val="single" w:sz="4" w:space="0" w:color="auto"/>
              <w:right w:val="single" w:sz="4" w:space="0" w:color="auto"/>
            </w:tcBorders>
            <w:shd w:val="clear" w:color="auto" w:fill="auto"/>
            <w:noWrap/>
            <w:vAlign w:val="center"/>
            <w:hideMark/>
          </w:tcPr>
          <w:p w14:paraId="0E92FB0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r>
    </w:tbl>
    <w:p w14:paraId="5DDC39D3" w14:textId="77777777" w:rsidR="006D2651" w:rsidRPr="0099442F" w:rsidRDefault="006D2651" w:rsidP="006D2651">
      <w:pPr>
        <w:spacing w:after="0"/>
        <w:ind w:left="717"/>
        <w:rPr>
          <w:rFonts w:ascii="Times New Roman" w:hAnsi="Times New Roman"/>
          <w:sz w:val="4"/>
          <w:szCs w:val="4"/>
          <w:highlight w:val="yellow"/>
        </w:rPr>
      </w:pPr>
    </w:p>
    <w:p w14:paraId="64A33DF9" w14:textId="7DB1BDBC" w:rsidR="006D2651" w:rsidRDefault="006D2651" w:rsidP="006D2651">
      <w:pPr>
        <w:pStyle w:val="ListParagraph"/>
        <w:numPr>
          <w:ilvl w:val="0"/>
          <w:numId w:val="21"/>
        </w:numPr>
        <w:spacing w:after="0"/>
        <w:rPr>
          <w:rFonts w:ascii="Times New Roman" w:hAnsi="Times New Roman"/>
          <w:sz w:val="20"/>
          <w:szCs w:val="20"/>
        </w:rPr>
      </w:pPr>
      <w:r w:rsidRPr="006D2651">
        <w:rPr>
          <w:rFonts w:ascii="Times New Roman" w:hAnsi="Times New Roman"/>
          <w:sz w:val="20"/>
          <w:szCs w:val="20"/>
        </w:rPr>
        <w:t>Volume adjustment and volume after five years of inception</w:t>
      </w:r>
    </w:p>
    <w:p w14:paraId="209AB136" w14:textId="53EFF8A9" w:rsidR="0099442F" w:rsidRPr="006D2651" w:rsidRDefault="0099442F" w:rsidP="0099442F">
      <w:pPr>
        <w:pStyle w:val="ListParagraph"/>
        <w:spacing w:after="0"/>
        <w:ind w:left="717"/>
        <w:rPr>
          <w:rFonts w:ascii="Times New Roman" w:hAnsi="Times New Roman"/>
          <w:sz w:val="20"/>
          <w:szCs w:val="20"/>
        </w:rPr>
      </w:pPr>
    </w:p>
    <w:p w14:paraId="658D6FFE" w14:textId="77777777" w:rsidR="006D2651" w:rsidRPr="0099442F" w:rsidRDefault="006D2651" w:rsidP="006D2651">
      <w:pPr>
        <w:spacing w:after="0"/>
        <w:rPr>
          <w:rFonts w:ascii="Times New Roman" w:hAnsi="Times New Roman"/>
          <w:sz w:val="6"/>
          <w:szCs w:val="6"/>
        </w:rPr>
      </w:pPr>
    </w:p>
    <w:tbl>
      <w:tblPr>
        <w:tblW w:w="5231" w:type="pct"/>
        <w:tblInd w:w="-431" w:type="dxa"/>
        <w:tblLayout w:type="fixed"/>
        <w:tblLook w:val="04A0" w:firstRow="1" w:lastRow="0" w:firstColumn="1" w:lastColumn="0" w:noHBand="0" w:noVBand="1"/>
      </w:tblPr>
      <w:tblGrid>
        <w:gridCol w:w="3309"/>
        <w:gridCol w:w="609"/>
        <w:gridCol w:w="604"/>
        <w:gridCol w:w="605"/>
        <w:gridCol w:w="605"/>
        <w:gridCol w:w="605"/>
        <w:gridCol w:w="605"/>
        <w:gridCol w:w="605"/>
        <w:gridCol w:w="605"/>
        <w:gridCol w:w="605"/>
        <w:gridCol w:w="1025"/>
      </w:tblGrid>
      <w:tr w:rsidR="006D2651" w:rsidRPr="006D2651" w14:paraId="6F050F70" w14:textId="77777777" w:rsidTr="00C34994">
        <w:trPr>
          <w:trHeight w:val="440"/>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E4ABF"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5567BA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1D339BE"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7F5B1A1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Y3</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503FB8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Y4</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4D565E6"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Y5</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9B30C0F"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Y6</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14E27DAF"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Y7</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FFC5B1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Y8</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1F3E99BB"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Y9</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14:paraId="3F9C6CC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Y10</w:t>
            </w:r>
          </w:p>
        </w:tc>
      </w:tr>
      <w:tr w:rsidR="006D2651" w:rsidRPr="006D2651" w14:paraId="5E76881D" w14:textId="77777777" w:rsidTr="00C34994">
        <w:trPr>
          <w:trHeight w:val="380"/>
        </w:trPr>
        <w:tc>
          <w:tcPr>
            <w:tcW w:w="1692" w:type="pct"/>
            <w:tcBorders>
              <w:top w:val="nil"/>
              <w:left w:val="single" w:sz="4" w:space="0" w:color="auto"/>
              <w:bottom w:val="single" w:sz="4" w:space="0" w:color="auto"/>
              <w:right w:val="single" w:sz="4" w:space="0" w:color="auto"/>
            </w:tcBorders>
            <w:shd w:val="clear" w:color="auto" w:fill="auto"/>
            <w:noWrap/>
            <w:vAlign w:val="center"/>
            <w:hideMark/>
          </w:tcPr>
          <w:p w14:paraId="302E2809"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312" w:type="pct"/>
            <w:tcBorders>
              <w:top w:val="nil"/>
              <w:left w:val="nil"/>
              <w:bottom w:val="single" w:sz="4" w:space="0" w:color="auto"/>
              <w:right w:val="single" w:sz="4" w:space="0" w:color="auto"/>
            </w:tcBorders>
            <w:shd w:val="clear" w:color="auto" w:fill="auto"/>
            <w:noWrap/>
            <w:vAlign w:val="center"/>
            <w:hideMark/>
          </w:tcPr>
          <w:p w14:paraId="75C2ADE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4897099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6558554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08CB5F3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7D1017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6D5E5EC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5867A18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1AACCE2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9" w:type="pct"/>
            <w:tcBorders>
              <w:top w:val="nil"/>
              <w:left w:val="nil"/>
              <w:bottom w:val="single" w:sz="4" w:space="0" w:color="auto"/>
              <w:right w:val="single" w:sz="4" w:space="0" w:color="auto"/>
            </w:tcBorders>
            <w:shd w:val="clear" w:color="auto" w:fill="auto"/>
            <w:noWrap/>
            <w:vAlign w:val="center"/>
            <w:hideMark/>
          </w:tcPr>
          <w:p w14:paraId="726C74C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526" w:type="pct"/>
            <w:tcBorders>
              <w:top w:val="nil"/>
              <w:left w:val="nil"/>
              <w:bottom w:val="single" w:sz="4" w:space="0" w:color="auto"/>
              <w:right w:val="single" w:sz="4" w:space="0" w:color="auto"/>
            </w:tcBorders>
            <w:shd w:val="clear" w:color="auto" w:fill="auto"/>
            <w:noWrap/>
            <w:vAlign w:val="center"/>
            <w:hideMark/>
          </w:tcPr>
          <w:p w14:paraId="45C9816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r>
      <w:tr w:rsidR="006D2651" w:rsidRPr="006D2651" w14:paraId="4313C6CF" w14:textId="77777777" w:rsidTr="00C34994">
        <w:trPr>
          <w:trHeight w:val="332"/>
        </w:trPr>
        <w:tc>
          <w:tcPr>
            <w:tcW w:w="1692" w:type="pct"/>
            <w:tcBorders>
              <w:top w:val="nil"/>
              <w:left w:val="single" w:sz="4" w:space="0" w:color="auto"/>
              <w:bottom w:val="single" w:sz="4" w:space="0" w:color="auto"/>
              <w:right w:val="single" w:sz="4" w:space="0" w:color="auto"/>
            </w:tcBorders>
            <w:shd w:val="clear" w:color="auto" w:fill="auto"/>
            <w:noWrap/>
            <w:vAlign w:val="center"/>
            <w:hideMark/>
          </w:tcPr>
          <w:p w14:paraId="04509AC1"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312" w:type="pct"/>
            <w:tcBorders>
              <w:top w:val="nil"/>
              <w:left w:val="nil"/>
              <w:bottom w:val="single" w:sz="4" w:space="0" w:color="auto"/>
              <w:right w:val="single" w:sz="4" w:space="0" w:color="auto"/>
            </w:tcBorders>
            <w:shd w:val="clear" w:color="auto" w:fill="auto"/>
            <w:noWrap/>
            <w:vAlign w:val="center"/>
            <w:hideMark/>
          </w:tcPr>
          <w:p w14:paraId="234D85E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w:t>
            </w:r>
          </w:p>
        </w:tc>
        <w:tc>
          <w:tcPr>
            <w:tcW w:w="309" w:type="pct"/>
            <w:tcBorders>
              <w:top w:val="nil"/>
              <w:left w:val="nil"/>
              <w:bottom w:val="single" w:sz="4" w:space="0" w:color="auto"/>
              <w:right w:val="single" w:sz="4" w:space="0" w:color="auto"/>
            </w:tcBorders>
            <w:shd w:val="clear" w:color="auto" w:fill="auto"/>
            <w:noWrap/>
            <w:vAlign w:val="center"/>
            <w:hideMark/>
          </w:tcPr>
          <w:p w14:paraId="7016B3B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35</w:t>
            </w:r>
          </w:p>
        </w:tc>
        <w:tc>
          <w:tcPr>
            <w:tcW w:w="309" w:type="pct"/>
            <w:tcBorders>
              <w:top w:val="nil"/>
              <w:left w:val="nil"/>
              <w:bottom w:val="single" w:sz="4" w:space="0" w:color="auto"/>
              <w:right w:val="single" w:sz="4" w:space="0" w:color="auto"/>
            </w:tcBorders>
            <w:shd w:val="clear" w:color="auto" w:fill="auto"/>
            <w:noWrap/>
            <w:vAlign w:val="center"/>
            <w:hideMark/>
          </w:tcPr>
          <w:p w14:paraId="31F8D07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40</w:t>
            </w:r>
          </w:p>
        </w:tc>
        <w:tc>
          <w:tcPr>
            <w:tcW w:w="309" w:type="pct"/>
            <w:tcBorders>
              <w:top w:val="nil"/>
              <w:left w:val="nil"/>
              <w:bottom w:val="single" w:sz="4" w:space="0" w:color="auto"/>
              <w:right w:val="single" w:sz="4" w:space="0" w:color="auto"/>
            </w:tcBorders>
            <w:shd w:val="clear" w:color="auto" w:fill="auto"/>
            <w:noWrap/>
            <w:vAlign w:val="center"/>
            <w:hideMark/>
          </w:tcPr>
          <w:p w14:paraId="31632BF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w:t>
            </w:r>
          </w:p>
        </w:tc>
        <w:tc>
          <w:tcPr>
            <w:tcW w:w="309" w:type="pct"/>
            <w:tcBorders>
              <w:top w:val="nil"/>
              <w:left w:val="nil"/>
              <w:bottom w:val="single" w:sz="4" w:space="0" w:color="auto"/>
              <w:right w:val="single" w:sz="4" w:space="0" w:color="auto"/>
            </w:tcBorders>
            <w:shd w:val="clear" w:color="auto" w:fill="auto"/>
            <w:noWrap/>
            <w:vAlign w:val="center"/>
            <w:hideMark/>
          </w:tcPr>
          <w:p w14:paraId="449B8E4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50</w:t>
            </w:r>
          </w:p>
        </w:tc>
        <w:tc>
          <w:tcPr>
            <w:tcW w:w="309" w:type="pct"/>
            <w:tcBorders>
              <w:top w:val="nil"/>
              <w:left w:val="nil"/>
              <w:bottom w:val="single" w:sz="4" w:space="0" w:color="auto"/>
              <w:right w:val="single" w:sz="4" w:space="0" w:color="auto"/>
            </w:tcBorders>
            <w:shd w:val="clear" w:color="auto" w:fill="auto"/>
            <w:noWrap/>
            <w:vAlign w:val="center"/>
            <w:hideMark/>
          </w:tcPr>
          <w:p w14:paraId="1EAE464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w:t>
            </w:r>
          </w:p>
        </w:tc>
        <w:tc>
          <w:tcPr>
            <w:tcW w:w="309" w:type="pct"/>
            <w:tcBorders>
              <w:top w:val="nil"/>
              <w:left w:val="nil"/>
              <w:bottom w:val="single" w:sz="4" w:space="0" w:color="auto"/>
              <w:right w:val="single" w:sz="4" w:space="0" w:color="auto"/>
            </w:tcBorders>
            <w:shd w:val="clear" w:color="auto" w:fill="auto"/>
            <w:noWrap/>
            <w:vAlign w:val="center"/>
            <w:hideMark/>
          </w:tcPr>
          <w:p w14:paraId="1ECB281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70</w:t>
            </w:r>
          </w:p>
        </w:tc>
        <w:tc>
          <w:tcPr>
            <w:tcW w:w="309" w:type="pct"/>
            <w:tcBorders>
              <w:top w:val="nil"/>
              <w:left w:val="nil"/>
              <w:bottom w:val="single" w:sz="4" w:space="0" w:color="auto"/>
              <w:right w:val="single" w:sz="4" w:space="0" w:color="auto"/>
            </w:tcBorders>
            <w:shd w:val="clear" w:color="auto" w:fill="auto"/>
            <w:noWrap/>
            <w:vAlign w:val="center"/>
            <w:hideMark/>
          </w:tcPr>
          <w:p w14:paraId="72CE2F2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80</w:t>
            </w:r>
          </w:p>
        </w:tc>
        <w:tc>
          <w:tcPr>
            <w:tcW w:w="309" w:type="pct"/>
            <w:tcBorders>
              <w:top w:val="nil"/>
              <w:left w:val="nil"/>
              <w:bottom w:val="single" w:sz="4" w:space="0" w:color="auto"/>
              <w:right w:val="single" w:sz="4" w:space="0" w:color="auto"/>
            </w:tcBorders>
            <w:shd w:val="clear" w:color="auto" w:fill="auto"/>
            <w:noWrap/>
            <w:vAlign w:val="center"/>
            <w:hideMark/>
          </w:tcPr>
          <w:p w14:paraId="6AF3F6D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w:t>
            </w:r>
          </w:p>
        </w:tc>
        <w:tc>
          <w:tcPr>
            <w:tcW w:w="526" w:type="pct"/>
            <w:tcBorders>
              <w:top w:val="nil"/>
              <w:left w:val="nil"/>
              <w:bottom w:val="single" w:sz="4" w:space="0" w:color="auto"/>
              <w:right w:val="single" w:sz="4" w:space="0" w:color="auto"/>
            </w:tcBorders>
            <w:shd w:val="clear" w:color="auto" w:fill="auto"/>
            <w:noWrap/>
            <w:vAlign w:val="center"/>
            <w:hideMark/>
          </w:tcPr>
          <w:p w14:paraId="2C51396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r>
      <w:tr w:rsidR="006D2651" w:rsidRPr="006D2651" w14:paraId="6C65AC30" w14:textId="77777777" w:rsidTr="00C34994">
        <w:trPr>
          <w:trHeight w:val="376"/>
        </w:trPr>
        <w:tc>
          <w:tcPr>
            <w:tcW w:w="1692" w:type="pct"/>
            <w:tcBorders>
              <w:top w:val="nil"/>
              <w:left w:val="single" w:sz="4" w:space="0" w:color="auto"/>
              <w:bottom w:val="single" w:sz="4" w:space="0" w:color="auto"/>
              <w:right w:val="single" w:sz="4" w:space="0" w:color="auto"/>
            </w:tcBorders>
            <w:shd w:val="clear" w:color="auto" w:fill="auto"/>
            <w:noWrap/>
            <w:vAlign w:val="center"/>
            <w:hideMark/>
          </w:tcPr>
          <w:p w14:paraId="68BEDB59"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312" w:type="pct"/>
            <w:tcBorders>
              <w:top w:val="nil"/>
              <w:left w:val="nil"/>
              <w:bottom w:val="single" w:sz="4" w:space="0" w:color="auto"/>
              <w:right w:val="single" w:sz="4" w:space="0" w:color="auto"/>
            </w:tcBorders>
            <w:shd w:val="clear" w:color="auto" w:fill="auto"/>
            <w:noWrap/>
            <w:vAlign w:val="center"/>
            <w:hideMark/>
          </w:tcPr>
          <w:p w14:paraId="7CF1D19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2.25</w:t>
            </w:r>
          </w:p>
        </w:tc>
        <w:tc>
          <w:tcPr>
            <w:tcW w:w="309" w:type="pct"/>
            <w:tcBorders>
              <w:top w:val="nil"/>
              <w:left w:val="nil"/>
              <w:bottom w:val="single" w:sz="4" w:space="0" w:color="auto"/>
              <w:right w:val="single" w:sz="4" w:space="0" w:color="auto"/>
            </w:tcBorders>
            <w:shd w:val="clear" w:color="auto" w:fill="auto"/>
            <w:noWrap/>
            <w:vAlign w:val="center"/>
            <w:hideMark/>
          </w:tcPr>
          <w:p w14:paraId="6402ECD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2.63</w:t>
            </w:r>
          </w:p>
        </w:tc>
        <w:tc>
          <w:tcPr>
            <w:tcW w:w="309" w:type="pct"/>
            <w:tcBorders>
              <w:top w:val="nil"/>
              <w:left w:val="nil"/>
              <w:bottom w:val="single" w:sz="4" w:space="0" w:color="auto"/>
              <w:right w:val="single" w:sz="4" w:space="0" w:color="auto"/>
            </w:tcBorders>
            <w:shd w:val="clear" w:color="auto" w:fill="auto"/>
            <w:noWrap/>
            <w:vAlign w:val="center"/>
            <w:hideMark/>
          </w:tcPr>
          <w:p w14:paraId="5F44E38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3.00</w:t>
            </w:r>
          </w:p>
        </w:tc>
        <w:tc>
          <w:tcPr>
            <w:tcW w:w="309" w:type="pct"/>
            <w:tcBorders>
              <w:top w:val="nil"/>
              <w:left w:val="nil"/>
              <w:bottom w:val="single" w:sz="4" w:space="0" w:color="auto"/>
              <w:right w:val="single" w:sz="4" w:space="0" w:color="auto"/>
            </w:tcBorders>
            <w:shd w:val="clear" w:color="auto" w:fill="auto"/>
            <w:noWrap/>
            <w:vAlign w:val="center"/>
            <w:hideMark/>
          </w:tcPr>
          <w:p w14:paraId="70D9695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3.38</w:t>
            </w:r>
          </w:p>
        </w:tc>
        <w:tc>
          <w:tcPr>
            <w:tcW w:w="309" w:type="pct"/>
            <w:tcBorders>
              <w:top w:val="nil"/>
              <w:left w:val="nil"/>
              <w:bottom w:val="single" w:sz="4" w:space="0" w:color="auto"/>
              <w:right w:val="single" w:sz="4" w:space="0" w:color="auto"/>
            </w:tcBorders>
            <w:shd w:val="clear" w:color="auto" w:fill="auto"/>
            <w:noWrap/>
            <w:vAlign w:val="center"/>
            <w:hideMark/>
          </w:tcPr>
          <w:p w14:paraId="5FAB0A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3.75</w:t>
            </w:r>
          </w:p>
        </w:tc>
        <w:tc>
          <w:tcPr>
            <w:tcW w:w="309" w:type="pct"/>
            <w:tcBorders>
              <w:top w:val="nil"/>
              <w:left w:val="nil"/>
              <w:bottom w:val="single" w:sz="4" w:space="0" w:color="auto"/>
              <w:right w:val="single" w:sz="4" w:space="0" w:color="auto"/>
            </w:tcBorders>
            <w:shd w:val="clear" w:color="auto" w:fill="auto"/>
            <w:noWrap/>
            <w:vAlign w:val="center"/>
            <w:hideMark/>
          </w:tcPr>
          <w:p w14:paraId="3FBA8BC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4.50</w:t>
            </w:r>
          </w:p>
        </w:tc>
        <w:tc>
          <w:tcPr>
            <w:tcW w:w="309" w:type="pct"/>
            <w:tcBorders>
              <w:top w:val="nil"/>
              <w:left w:val="nil"/>
              <w:bottom w:val="single" w:sz="4" w:space="0" w:color="auto"/>
              <w:right w:val="single" w:sz="4" w:space="0" w:color="auto"/>
            </w:tcBorders>
            <w:shd w:val="clear" w:color="auto" w:fill="auto"/>
            <w:noWrap/>
            <w:vAlign w:val="center"/>
            <w:hideMark/>
          </w:tcPr>
          <w:p w14:paraId="7291F96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5.25</w:t>
            </w:r>
          </w:p>
        </w:tc>
        <w:tc>
          <w:tcPr>
            <w:tcW w:w="309" w:type="pct"/>
            <w:tcBorders>
              <w:top w:val="nil"/>
              <w:left w:val="nil"/>
              <w:bottom w:val="single" w:sz="4" w:space="0" w:color="auto"/>
              <w:right w:val="single" w:sz="4" w:space="0" w:color="auto"/>
            </w:tcBorders>
            <w:shd w:val="clear" w:color="auto" w:fill="auto"/>
            <w:noWrap/>
            <w:vAlign w:val="center"/>
            <w:hideMark/>
          </w:tcPr>
          <w:p w14:paraId="651A04F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6.00</w:t>
            </w:r>
          </w:p>
        </w:tc>
        <w:tc>
          <w:tcPr>
            <w:tcW w:w="309" w:type="pct"/>
            <w:tcBorders>
              <w:top w:val="nil"/>
              <w:left w:val="nil"/>
              <w:bottom w:val="single" w:sz="4" w:space="0" w:color="auto"/>
              <w:right w:val="single" w:sz="4" w:space="0" w:color="auto"/>
            </w:tcBorders>
            <w:shd w:val="clear" w:color="auto" w:fill="auto"/>
            <w:noWrap/>
            <w:vAlign w:val="center"/>
            <w:hideMark/>
          </w:tcPr>
          <w:p w14:paraId="323E41A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6.75</w:t>
            </w:r>
          </w:p>
        </w:tc>
        <w:tc>
          <w:tcPr>
            <w:tcW w:w="526" w:type="pct"/>
            <w:tcBorders>
              <w:top w:val="nil"/>
              <w:left w:val="nil"/>
              <w:bottom w:val="single" w:sz="4" w:space="0" w:color="auto"/>
              <w:right w:val="single" w:sz="4" w:space="0" w:color="auto"/>
            </w:tcBorders>
            <w:shd w:val="clear" w:color="auto" w:fill="auto"/>
            <w:noWrap/>
            <w:vAlign w:val="center"/>
            <w:hideMark/>
          </w:tcPr>
          <w:p w14:paraId="1969015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r>
      <w:tr w:rsidR="006D2651" w:rsidRPr="006D2651" w14:paraId="08330F90" w14:textId="77777777" w:rsidTr="00C34994">
        <w:trPr>
          <w:trHeight w:val="314"/>
        </w:trPr>
        <w:tc>
          <w:tcPr>
            <w:tcW w:w="1692" w:type="pct"/>
            <w:tcBorders>
              <w:top w:val="nil"/>
              <w:left w:val="single" w:sz="4" w:space="0" w:color="auto"/>
              <w:bottom w:val="single" w:sz="4" w:space="0" w:color="auto"/>
              <w:right w:val="single" w:sz="4" w:space="0" w:color="auto"/>
            </w:tcBorders>
            <w:shd w:val="clear" w:color="auto" w:fill="auto"/>
            <w:noWrap/>
            <w:vAlign w:val="center"/>
            <w:hideMark/>
          </w:tcPr>
          <w:p w14:paraId="138BAD1E"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 (MMTPA)</w:t>
            </w:r>
          </w:p>
        </w:tc>
        <w:tc>
          <w:tcPr>
            <w:tcW w:w="312" w:type="pct"/>
            <w:tcBorders>
              <w:top w:val="nil"/>
              <w:left w:val="nil"/>
              <w:bottom w:val="single" w:sz="4" w:space="0" w:color="auto"/>
              <w:right w:val="single" w:sz="4" w:space="0" w:color="auto"/>
            </w:tcBorders>
            <w:shd w:val="clear" w:color="auto" w:fill="auto"/>
            <w:noWrap/>
            <w:vAlign w:val="center"/>
            <w:hideMark/>
          </w:tcPr>
          <w:p w14:paraId="707D1F2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2.00</w:t>
            </w:r>
          </w:p>
        </w:tc>
        <w:tc>
          <w:tcPr>
            <w:tcW w:w="309" w:type="pct"/>
            <w:tcBorders>
              <w:top w:val="nil"/>
              <w:left w:val="nil"/>
              <w:bottom w:val="single" w:sz="4" w:space="0" w:color="auto"/>
              <w:right w:val="single" w:sz="4" w:space="0" w:color="auto"/>
            </w:tcBorders>
            <w:shd w:val="clear" w:color="auto" w:fill="auto"/>
            <w:noWrap/>
            <w:vAlign w:val="center"/>
            <w:hideMark/>
          </w:tcPr>
          <w:p w14:paraId="0B21116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2.85</w:t>
            </w:r>
          </w:p>
        </w:tc>
        <w:tc>
          <w:tcPr>
            <w:tcW w:w="309" w:type="pct"/>
            <w:tcBorders>
              <w:top w:val="nil"/>
              <w:left w:val="nil"/>
              <w:bottom w:val="single" w:sz="4" w:space="0" w:color="auto"/>
              <w:right w:val="single" w:sz="4" w:space="0" w:color="auto"/>
            </w:tcBorders>
            <w:shd w:val="clear" w:color="auto" w:fill="auto"/>
            <w:noWrap/>
            <w:vAlign w:val="center"/>
            <w:hideMark/>
          </w:tcPr>
          <w:p w14:paraId="0EA58E8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3.00</w:t>
            </w:r>
          </w:p>
        </w:tc>
        <w:tc>
          <w:tcPr>
            <w:tcW w:w="309" w:type="pct"/>
            <w:tcBorders>
              <w:top w:val="nil"/>
              <w:left w:val="nil"/>
              <w:bottom w:val="single" w:sz="4" w:space="0" w:color="auto"/>
              <w:right w:val="single" w:sz="4" w:space="0" w:color="auto"/>
            </w:tcBorders>
            <w:shd w:val="clear" w:color="auto" w:fill="auto"/>
            <w:noWrap/>
            <w:vAlign w:val="center"/>
            <w:hideMark/>
          </w:tcPr>
          <w:p w14:paraId="0059E9C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3.00</w:t>
            </w:r>
          </w:p>
        </w:tc>
        <w:tc>
          <w:tcPr>
            <w:tcW w:w="309" w:type="pct"/>
            <w:tcBorders>
              <w:top w:val="nil"/>
              <w:left w:val="nil"/>
              <w:bottom w:val="single" w:sz="4" w:space="0" w:color="auto"/>
              <w:right w:val="single" w:sz="4" w:space="0" w:color="auto"/>
            </w:tcBorders>
            <w:shd w:val="clear" w:color="auto" w:fill="auto"/>
            <w:noWrap/>
            <w:vAlign w:val="center"/>
            <w:hideMark/>
          </w:tcPr>
          <w:p w14:paraId="1469254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3.45</w:t>
            </w:r>
          </w:p>
        </w:tc>
        <w:tc>
          <w:tcPr>
            <w:tcW w:w="309" w:type="pct"/>
            <w:tcBorders>
              <w:top w:val="nil"/>
              <w:left w:val="nil"/>
              <w:bottom w:val="single" w:sz="4" w:space="0" w:color="auto"/>
              <w:right w:val="single" w:sz="4" w:space="0" w:color="auto"/>
            </w:tcBorders>
            <w:shd w:val="clear" w:color="auto" w:fill="auto"/>
            <w:noWrap/>
            <w:vAlign w:val="center"/>
            <w:hideMark/>
          </w:tcPr>
          <w:p w14:paraId="20C79C9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9" w:type="pct"/>
            <w:tcBorders>
              <w:top w:val="nil"/>
              <w:left w:val="nil"/>
              <w:bottom w:val="single" w:sz="4" w:space="0" w:color="auto"/>
              <w:right w:val="single" w:sz="4" w:space="0" w:color="auto"/>
            </w:tcBorders>
            <w:shd w:val="clear" w:color="auto" w:fill="auto"/>
            <w:noWrap/>
            <w:vAlign w:val="center"/>
            <w:hideMark/>
          </w:tcPr>
          <w:p w14:paraId="24CF0A8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9" w:type="pct"/>
            <w:tcBorders>
              <w:top w:val="nil"/>
              <w:left w:val="nil"/>
              <w:bottom w:val="single" w:sz="4" w:space="0" w:color="auto"/>
              <w:right w:val="single" w:sz="4" w:space="0" w:color="auto"/>
            </w:tcBorders>
            <w:shd w:val="clear" w:color="auto" w:fill="auto"/>
            <w:noWrap/>
            <w:vAlign w:val="center"/>
            <w:hideMark/>
          </w:tcPr>
          <w:p w14:paraId="35D2C50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9" w:type="pct"/>
            <w:tcBorders>
              <w:top w:val="nil"/>
              <w:left w:val="nil"/>
              <w:bottom w:val="single" w:sz="4" w:space="0" w:color="auto"/>
              <w:right w:val="single" w:sz="4" w:space="0" w:color="auto"/>
            </w:tcBorders>
            <w:shd w:val="clear" w:color="auto" w:fill="auto"/>
            <w:noWrap/>
            <w:vAlign w:val="center"/>
            <w:hideMark/>
          </w:tcPr>
          <w:p w14:paraId="71DCEF3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526" w:type="pct"/>
            <w:tcBorders>
              <w:top w:val="nil"/>
              <w:left w:val="nil"/>
              <w:bottom w:val="single" w:sz="4" w:space="0" w:color="auto"/>
              <w:right w:val="single" w:sz="4" w:space="0" w:color="auto"/>
            </w:tcBorders>
            <w:shd w:val="clear" w:color="auto" w:fill="auto"/>
            <w:noWrap/>
            <w:vAlign w:val="center"/>
            <w:hideMark/>
          </w:tcPr>
          <w:p w14:paraId="43D2C74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r>
      <w:tr w:rsidR="006D2651" w:rsidRPr="006D2651" w14:paraId="74E09E57" w14:textId="77777777" w:rsidTr="00C34994">
        <w:trPr>
          <w:trHeight w:val="67"/>
        </w:trPr>
        <w:tc>
          <w:tcPr>
            <w:tcW w:w="1692" w:type="pct"/>
            <w:tcBorders>
              <w:top w:val="nil"/>
              <w:left w:val="single" w:sz="4" w:space="0" w:color="auto"/>
              <w:bottom w:val="single" w:sz="4" w:space="0" w:color="auto"/>
              <w:right w:val="single" w:sz="4" w:space="0" w:color="auto"/>
            </w:tcBorders>
            <w:shd w:val="clear" w:color="auto" w:fill="auto"/>
            <w:noWrap/>
            <w:vAlign w:val="center"/>
            <w:hideMark/>
          </w:tcPr>
          <w:p w14:paraId="29E8BFF6"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 (MMTPA)</w:t>
            </w:r>
          </w:p>
        </w:tc>
        <w:tc>
          <w:tcPr>
            <w:tcW w:w="312" w:type="pct"/>
            <w:tcBorders>
              <w:top w:val="nil"/>
              <w:left w:val="nil"/>
              <w:bottom w:val="single" w:sz="4" w:space="0" w:color="auto"/>
              <w:right w:val="single" w:sz="4" w:space="0" w:color="auto"/>
            </w:tcBorders>
            <w:shd w:val="clear" w:color="auto" w:fill="auto"/>
            <w:noWrap/>
            <w:vAlign w:val="center"/>
            <w:hideMark/>
          </w:tcPr>
          <w:p w14:paraId="6119002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2.02 </w:t>
            </w:r>
          </w:p>
        </w:tc>
        <w:tc>
          <w:tcPr>
            <w:tcW w:w="309" w:type="pct"/>
            <w:tcBorders>
              <w:top w:val="nil"/>
              <w:left w:val="nil"/>
              <w:bottom w:val="single" w:sz="4" w:space="0" w:color="auto"/>
              <w:right w:val="single" w:sz="4" w:space="0" w:color="auto"/>
            </w:tcBorders>
            <w:shd w:val="clear" w:color="auto" w:fill="auto"/>
            <w:noWrap/>
            <w:vAlign w:val="center"/>
            <w:hideMark/>
          </w:tcPr>
          <w:p w14:paraId="1726E1E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2.85 </w:t>
            </w:r>
          </w:p>
        </w:tc>
        <w:tc>
          <w:tcPr>
            <w:tcW w:w="309" w:type="pct"/>
            <w:tcBorders>
              <w:top w:val="nil"/>
              <w:left w:val="nil"/>
              <w:bottom w:val="single" w:sz="4" w:space="0" w:color="auto"/>
              <w:right w:val="single" w:sz="4" w:space="0" w:color="auto"/>
            </w:tcBorders>
            <w:shd w:val="clear" w:color="auto" w:fill="auto"/>
            <w:noWrap/>
            <w:vAlign w:val="center"/>
            <w:hideMark/>
          </w:tcPr>
          <w:p w14:paraId="49B64F8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3.00 </w:t>
            </w:r>
          </w:p>
        </w:tc>
        <w:tc>
          <w:tcPr>
            <w:tcW w:w="309" w:type="pct"/>
            <w:tcBorders>
              <w:top w:val="nil"/>
              <w:left w:val="nil"/>
              <w:bottom w:val="single" w:sz="4" w:space="0" w:color="auto"/>
              <w:right w:val="single" w:sz="4" w:space="0" w:color="auto"/>
            </w:tcBorders>
            <w:shd w:val="clear" w:color="auto" w:fill="auto"/>
            <w:noWrap/>
            <w:vAlign w:val="center"/>
            <w:hideMark/>
          </w:tcPr>
          <w:p w14:paraId="7216201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3.38 </w:t>
            </w:r>
          </w:p>
        </w:tc>
        <w:tc>
          <w:tcPr>
            <w:tcW w:w="309" w:type="pct"/>
            <w:tcBorders>
              <w:top w:val="nil"/>
              <w:left w:val="nil"/>
              <w:bottom w:val="single" w:sz="4" w:space="0" w:color="auto"/>
              <w:right w:val="single" w:sz="4" w:space="0" w:color="auto"/>
            </w:tcBorders>
            <w:shd w:val="clear" w:color="auto" w:fill="auto"/>
            <w:noWrap/>
            <w:vAlign w:val="center"/>
            <w:hideMark/>
          </w:tcPr>
          <w:p w14:paraId="55D9428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3.75 </w:t>
            </w:r>
          </w:p>
        </w:tc>
        <w:tc>
          <w:tcPr>
            <w:tcW w:w="309" w:type="pct"/>
            <w:tcBorders>
              <w:top w:val="nil"/>
              <w:left w:val="nil"/>
              <w:bottom w:val="single" w:sz="4" w:space="0" w:color="auto"/>
              <w:right w:val="single" w:sz="4" w:space="0" w:color="auto"/>
            </w:tcBorders>
            <w:shd w:val="clear" w:color="auto" w:fill="auto"/>
            <w:noWrap/>
            <w:vAlign w:val="center"/>
            <w:hideMark/>
          </w:tcPr>
          <w:p w14:paraId="0ADB30B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4.50 </w:t>
            </w:r>
          </w:p>
        </w:tc>
        <w:tc>
          <w:tcPr>
            <w:tcW w:w="309" w:type="pct"/>
            <w:tcBorders>
              <w:top w:val="nil"/>
              <w:left w:val="nil"/>
              <w:bottom w:val="single" w:sz="4" w:space="0" w:color="auto"/>
              <w:right w:val="single" w:sz="4" w:space="0" w:color="auto"/>
            </w:tcBorders>
            <w:shd w:val="clear" w:color="auto" w:fill="auto"/>
            <w:noWrap/>
            <w:vAlign w:val="center"/>
            <w:hideMark/>
          </w:tcPr>
          <w:p w14:paraId="15E8518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5.25 </w:t>
            </w:r>
          </w:p>
        </w:tc>
        <w:tc>
          <w:tcPr>
            <w:tcW w:w="309" w:type="pct"/>
            <w:tcBorders>
              <w:top w:val="nil"/>
              <w:left w:val="nil"/>
              <w:bottom w:val="single" w:sz="4" w:space="0" w:color="auto"/>
              <w:right w:val="single" w:sz="4" w:space="0" w:color="auto"/>
            </w:tcBorders>
            <w:shd w:val="clear" w:color="auto" w:fill="auto"/>
            <w:noWrap/>
            <w:vAlign w:val="center"/>
            <w:hideMark/>
          </w:tcPr>
          <w:p w14:paraId="0C8D076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6.00 </w:t>
            </w:r>
          </w:p>
        </w:tc>
        <w:tc>
          <w:tcPr>
            <w:tcW w:w="309" w:type="pct"/>
            <w:tcBorders>
              <w:top w:val="nil"/>
              <w:left w:val="nil"/>
              <w:bottom w:val="single" w:sz="4" w:space="0" w:color="auto"/>
              <w:right w:val="single" w:sz="4" w:space="0" w:color="auto"/>
            </w:tcBorders>
            <w:shd w:val="clear" w:color="auto" w:fill="auto"/>
            <w:noWrap/>
            <w:vAlign w:val="center"/>
            <w:hideMark/>
          </w:tcPr>
          <w:p w14:paraId="1961E65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6.75 </w:t>
            </w:r>
          </w:p>
        </w:tc>
        <w:tc>
          <w:tcPr>
            <w:tcW w:w="526" w:type="pct"/>
            <w:tcBorders>
              <w:top w:val="nil"/>
              <w:left w:val="nil"/>
              <w:bottom w:val="single" w:sz="4" w:space="0" w:color="auto"/>
              <w:right w:val="single" w:sz="4" w:space="0" w:color="auto"/>
            </w:tcBorders>
            <w:shd w:val="clear" w:color="auto" w:fill="auto"/>
            <w:noWrap/>
            <w:vAlign w:val="center"/>
            <w:hideMark/>
          </w:tcPr>
          <w:p w14:paraId="5BCD7A7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 xml:space="preserve">7.50 </w:t>
            </w:r>
          </w:p>
        </w:tc>
      </w:tr>
    </w:tbl>
    <w:p w14:paraId="7827D26A" w14:textId="1F8DEA5E" w:rsidR="006D2651" w:rsidRPr="0099442F" w:rsidRDefault="006D2651" w:rsidP="006D2651">
      <w:pPr>
        <w:spacing w:after="0"/>
        <w:ind w:left="717"/>
        <w:rPr>
          <w:rFonts w:ascii="Times New Roman" w:hAnsi="Times New Roman"/>
          <w:sz w:val="6"/>
          <w:szCs w:val="6"/>
        </w:rPr>
      </w:pPr>
    </w:p>
    <w:tbl>
      <w:tblPr>
        <w:tblW w:w="7372" w:type="dxa"/>
        <w:tblInd w:w="-431" w:type="dxa"/>
        <w:tblLook w:val="04A0" w:firstRow="1" w:lastRow="0" w:firstColumn="1" w:lastColumn="0" w:noHBand="0" w:noVBand="1"/>
      </w:tblPr>
      <w:tblGrid>
        <w:gridCol w:w="3403"/>
        <w:gridCol w:w="607"/>
        <w:gridCol w:w="669"/>
        <w:gridCol w:w="567"/>
        <w:gridCol w:w="607"/>
        <w:gridCol w:w="669"/>
        <w:gridCol w:w="917"/>
      </w:tblGrid>
      <w:tr w:rsidR="006D2651" w:rsidRPr="006D2651" w14:paraId="57EB2B2A" w14:textId="77777777" w:rsidTr="00D43310">
        <w:trPr>
          <w:trHeight w:val="343"/>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3E695"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Adjustment</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63F1CA6D"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4DEFB1CE"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850F7D"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Y3</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2EB01E9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Y4</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3591EA75"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9DC6A6A" w14:textId="16C13B0E" w:rsidR="006D2651" w:rsidRPr="006D2651" w:rsidRDefault="006D2651" w:rsidP="00D43310">
            <w:pPr>
              <w:spacing w:after="0"/>
              <w:jc w:val="center"/>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TOTAL</w:t>
            </w:r>
          </w:p>
        </w:tc>
      </w:tr>
      <w:tr w:rsidR="006D2651" w:rsidRPr="006D2651" w14:paraId="15098910" w14:textId="77777777" w:rsidTr="00D43310">
        <w:trPr>
          <w:trHeight w:val="343"/>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3E3CF1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Surplus (Actual Volume &gt;Normative Volume)</w:t>
            </w:r>
          </w:p>
        </w:tc>
        <w:tc>
          <w:tcPr>
            <w:tcW w:w="607" w:type="dxa"/>
            <w:tcBorders>
              <w:top w:val="nil"/>
              <w:left w:val="nil"/>
              <w:bottom w:val="single" w:sz="4" w:space="0" w:color="auto"/>
              <w:right w:val="single" w:sz="4" w:space="0" w:color="auto"/>
            </w:tcBorders>
            <w:shd w:val="clear" w:color="auto" w:fill="auto"/>
            <w:noWrap/>
            <w:hideMark/>
          </w:tcPr>
          <w:p w14:paraId="058D51BF"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669" w:type="dxa"/>
            <w:tcBorders>
              <w:top w:val="nil"/>
              <w:left w:val="nil"/>
              <w:bottom w:val="single" w:sz="4" w:space="0" w:color="auto"/>
              <w:right w:val="single" w:sz="4" w:space="0" w:color="auto"/>
            </w:tcBorders>
            <w:shd w:val="clear" w:color="auto" w:fill="auto"/>
            <w:noWrap/>
            <w:hideMark/>
          </w:tcPr>
          <w:p w14:paraId="1985C782"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0.22</w:t>
            </w:r>
          </w:p>
        </w:tc>
        <w:tc>
          <w:tcPr>
            <w:tcW w:w="567" w:type="dxa"/>
            <w:tcBorders>
              <w:top w:val="nil"/>
              <w:left w:val="nil"/>
              <w:bottom w:val="single" w:sz="4" w:space="0" w:color="auto"/>
              <w:right w:val="single" w:sz="4" w:space="0" w:color="auto"/>
            </w:tcBorders>
            <w:shd w:val="clear" w:color="auto" w:fill="auto"/>
            <w:noWrap/>
            <w:hideMark/>
          </w:tcPr>
          <w:p w14:paraId="3C4385C4"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607" w:type="dxa"/>
            <w:tcBorders>
              <w:top w:val="nil"/>
              <w:left w:val="nil"/>
              <w:bottom w:val="single" w:sz="4" w:space="0" w:color="auto"/>
              <w:right w:val="single" w:sz="4" w:space="0" w:color="auto"/>
            </w:tcBorders>
            <w:shd w:val="clear" w:color="auto" w:fill="auto"/>
            <w:noWrap/>
            <w:hideMark/>
          </w:tcPr>
          <w:p w14:paraId="056F8B3F"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669" w:type="dxa"/>
            <w:tcBorders>
              <w:top w:val="nil"/>
              <w:left w:val="nil"/>
              <w:bottom w:val="single" w:sz="4" w:space="0" w:color="auto"/>
              <w:right w:val="single" w:sz="4" w:space="0" w:color="auto"/>
            </w:tcBorders>
            <w:shd w:val="clear" w:color="auto" w:fill="auto"/>
            <w:noWrap/>
            <w:hideMark/>
          </w:tcPr>
          <w:p w14:paraId="233D979A"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850" w:type="dxa"/>
            <w:tcBorders>
              <w:top w:val="nil"/>
              <w:left w:val="nil"/>
              <w:bottom w:val="single" w:sz="4" w:space="0" w:color="auto"/>
              <w:right w:val="single" w:sz="4" w:space="0" w:color="auto"/>
            </w:tcBorders>
            <w:shd w:val="clear" w:color="auto" w:fill="auto"/>
            <w:noWrap/>
            <w:hideMark/>
          </w:tcPr>
          <w:p w14:paraId="0CEDACC4" w14:textId="77777777" w:rsidR="006D2651" w:rsidRPr="006D2651" w:rsidRDefault="006D2651" w:rsidP="006D2651">
            <w:pPr>
              <w:spacing w:after="0"/>
              <w:jc w:val="center"/>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0.22</w:t>
            </w:r>
          </w:p>
        </w:tc>
      </w:tr>
      <w:tr w:rsidR="006D2651" w:rsidRPr="006D2651" w14:paraId="6891C289" w14:textId="77777777" w:rsidTr="00D43310">
        <w:trPr>
          <w:trHeight w:val="343"/>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9DBE49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Deficit (Actual Volume &lt;Normative Volume)</w:t>
            </w:r>
          </w:p>
        </w:tc>
        <w:tc>
          <w:tcPr>
            <w:tcW w:w="607" w:type="dxa"/>
            <w:tcBorders>
              <w:top w:val="nil"/>
              <w:left w:val="nil"/>
              <w:bottom w:val="single" w:sz="4" w:space="0" w:color="auto"/>
              <w:right w:val="single" w:sz="4" w:space="0" w:color="auto"/>
            </w:tcBorders>
            <w:shd w:val="clear" w:color="auto" w:fill="auto"/>
            <w:noWrap/>
            <w:hideMark/>
          </w:tcPr>
          <w:p w14:paraId="73DD03B0"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0.25</w:t>
            </w:r>
          </w:p>
        </w:tc>
        <w:tc>
          <w:tcPr>
            <w:tcW w:w="669" w:type="dxa"/>
            <w:tcBorders>
              <w:top w:val="nil"/>
              <w:left w:val="nil"/>
              <w:bottom w:val="single" w:sz="4" w:space="0" w:color="auto"/>
              <w:right w:val="single" w:sz="4" w:space="0" w:color="auto"/>
            </w:tcBorders>
            <w:shd w:val="clear" w:color="auto" w:fill="auto"/>
            <w:noWrap/>
            <w:hideMark/>
          </w:tcPr>
          <w:p w14:paraId="00E375CC"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567" w:type="dxa"/>
            <w:tcBorders>
              <w:top w:val="nil"/>
              <w:left w:val="nil"/>
              <w:bottom w:val="single" w:sz="4" w:space="0" w:color="auto"/>
              <w:right w:val="single" w:sz="4" w:space="0" w:color="auto"/>
            </w:tcBorders>
            <w:shd w:val="clear" w:color="auto" w:fill="auto"/>
            <w:noWrap/>
            <w:hideMark/>
          </w:tcPr>
          <w:p w14:paraId="312AB427"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w:t>
            </w:r>
          </w:p>
        </w:tc>
        <w:tc>
          <w:tcPr>
            <w:tcW w:w="607" w:type="dxa"/>
            <w:tcBorders>
              <w:top w:val="nil"/>
              <w:left w:val="nil"/>
              <w:bottom w:val="single" w:sz="4" w:space="0" w:color="auto"/>
              <w:right w:val="single" w:sz="4" w:space="0" w:color="auto"/>
            </w:tcBorders>
            <w:shd w:val="clear" w:color="auto" w:fill="auto"/>
            <w:noWrap/>
            <w:hideMark/>
          </w:tcPr>
          <w:p w14:paraId="4E4E19FB"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0.38</w:t>
            </w:r>
          </w:p>
        </w:tc>
        <w:tc>
          <w:tcPr>
            <w:tcW w:w="669" w:type="dxa"/>
            <w:tcBorders>
              <w:top w:val="nil"/>
              <w:left w:val="nil"/>
              <w:bottom w:val="single" w:sz="4" w:space="0" w:color="auto"/>
              <w:right w:val="single" w:sz="4" w:space="0" w:color="auto"/>
            </w:tcBorders>
            <w:shd w:val="clear" w:color="auto" w:fill="auto"/>
            <w:noWrap/>
            <w:hideMark/>
          </w:tcPr>
          <w:p w14:paraId="2547810C"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0.30</w:t>
            </w:r>
          </w:p>
        </w:tc>
        <w:tc>
          <w:tcPr>
            <w:tcW w:w="850" w:type="dxa"/>
            <w:tcBorders>
              <w:top w:val="nil"/>
              <w:left w:val="nil"/>
              <w:bottom w:val="single" w:sz="4" w:space="0" w:color="auto"/>
              <w:right w:val="single" w:sz="4" w:space="0" w:color="auto"/>
            </w:tcBorders>
            <w:shd w:val="clear" w:color="auto" w:fill="auto"/>
            <w:noWrap/>
            <w:hideMark/>
          </w:tcPr>
          <w:p w14:paraId="432E76D6" w14:textId="77777777" w:rsidR="006D2651" w:rsidRPr="006D2651" w:rsidRDefault="006D2651" w:rsidP="006D2651">
            <w:pPr>
              <w:spacing w:after="0"/>
              <w:jc w:val="center"/>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0.93</w:t>
            </w:r>
          </w:p>
        </w:tc>
      </w:tr>
      <w:tr w:rsidR="006D2651" w:rsidRPr="006D2651" w14:paraId="6183C201" w14:textId="77777777" w:rsidTr="00D43310">
        <w:trPr>
          <w:trHeight w:val="343"/>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AE0F6F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Setoff</w:t>
            </w:r>
          </w:p>
        </w:tc>
        <w:tc>
          <w:tcPr>
            <w:tcW w:w="607" w:type="dxa"/>
            <w:tcBorders>
              <w:top w:val="nil"/>
              <w:left w:val="nil"/>
              <w:bottom w:val="single" w:sz="4" w:space="0" w:color="auto"/>
              <w:right w:val="single" w:sz="4" w:space="0" w:color="auto"/>
            </w:tcBorders>
            <w:shd w:val="clear" w:color="auto" w:fill="auto"/>
            <w:noWrap/>
            <w:hideMark/>
          </w:tcPr>
          <w:p w14:paraId="636EF223"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0.22</w:t>
            </w:r>
          </w:p>
        </w:tc>
        <w:tc>
          <w:tcPr>
            <w:tcW w:w="669" w:type="dxa"/>
            <w:tcBorders>
              <w:top w:val="nil"/>
              <w:left w:val="nil"/>
              <w:bottom w:val="single" w:sz="4" w:space="0" w:color="auto"/>
              <w:right w:val="single" w:sz="4" w:space="0" w:color="auto"/>
            </w:tcBorders>
            <w:shd w:val="clear" w:color="auto" w:fill="auto"/>
            <w:noWrap/>
            <w:hideMark/>
          </w:tcPr>
          <w:p w14:paraId="324C2074"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567" w:type="dxa"/>
            <w:tcBorders>
              <w:top w:val="nil"/>
              <w:left w:val="nil"/>
              <w:bottom w:val="single" w:sz="4" w:space="0" w:color="auto"/>
              <w:right w:val="single" w:sz="4" w:space="0" w:color="auto"/>
            </w:tcBorders>
            <w:shd w:val="clear" w:color="auto" w:fill="auto"/>
            <w:noWrap/>
            <w:hideMark/>
          </w:tcPr>
          <w:p w14:paraId="2D85BFA9"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607" w:type="dxa"/>
            <w:tcBorders>
              <w:top w:val="nil"/>
              <w:left w:val="nil"/>
              <w:bottom w:val="single" w:sz="4" w:space="0" w:color="auto"/>
              <w:right w:val="single" w:sz="4" w:space="0" w:color="auto"/>
            </w:tcBorders>
            <w:shd w:val="clear" w:color="auto" w:fill="auto"/>
            <w:noWrap/>
            <w:hideMark/>
          </w:tcPr>
          <w:p w14:paraId="7F166EBD"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669" w:type="dxa"/>
            <w:tcBorders>
              <w:top w:val="nil"/>
              <w:left w:val="nil"/>
              <w:bottom w:val="single" w:sz="4" w:space="0" w:color="auto"/>
              <w:right w:val="single" w:sz="4" w:space="0" w:color="auto"/>
            </w:tcBorders>
            <w:shd w:val="clear" w:color="auto" w:fill="auto"/>
            <w:noWrap/>
            <w:hideMark/>
          </w:tcPr>
          <w:p w14:paraId="1AA33948" w14:textId="77777777" w:rsidR="006D2651" w:rsidRPr="006D2651" w:rsidRDefault="006D2651" w:rsidP="006D2651">
            <w:pPr>
              <w:spacing w:after="0"/>
              <w:jc w:val="center"/>
              <w:rPr>
                <w:rFonts w:ascii="Times New Roman" w:eastAsia="Times New Roman" w:hAnsi="Times New Roman"/>
                <w:color w:val="000000"/>
                <w:sz w:val="20"/>
                <w:szCs w:val="20"/>
                <w:lang w:val="en-IN" w:eastAsia="en-IN" w:bidi="hi-IN"/>
              </w:rPr>
            </w:pPr>
          </w:p>
        </w:tc>
        <w:tc>
          <w:tcPr>
            <w:tcW w:w="850" w:type="dxa"/>
            <w:tcBorders>
              <w:top w:val="nil"/>
              <w:left w:val="nil"/>
              <w:bottom w:val="single" w:sz="4" w:space="0" w:color="auto"/>
              <w:right w:val="single" w:sz="4" w:space="0" w:color="auto"/>
            </w:tcBorders>
            <w:shd w:val="clear" w:color="auto" w:fill="auto"/>
            <w:noWrap/>
            <w:hideMark/>
          </w:tcPr>
          <w:p w14:paraId="02D932F0" w14:textId="77777777" w:rsidR="006D2651" w:rsidRPr="006D2651" w:rsidRDefault="006D2651" w:rsidP="006D2651">
            <w:pPr>
              <w:spacing w:after="0"/>
              <w:jc w:val="center"/>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0.22</w:t>
            </w:r>
          </w:p>
        </w:tc>
      </w:tr>
    </w:tbl>
    <w:p w14:paraId="1290AC05" w14:textId="5323FF7A" w:rsidR="0099442F" w:rsidRPr="0099442F" w:rsidRDefault="0099442F" w:rsidP="006D2651">
      <w:pPr>
        <w:spacing w:after="0"/>
        <w:ind w:left="717"/>
        <w:rPr>
          <w:rFonts w:ascii="Times New Roman" w:hAnsi="Times New Roman"/>
          <w:b/>
          <w:bCs/>
          <w:i/>
          <w:iCs/>
          <w:color w:val="FF0000"/>
          <w:sz w:val="4"/>
          <w:szCs w:val="4"/>
        </w:rPr>
      </w:pPr>
    </w:p>
    <w:tbl>
      <w:tblPr>
        <w:tblW w:w="5534" w:type="pct"/>
        <w:tblInd w:w="-431" w:type="dxa"/>
        <w:tblLayout w:type="fixed"/>
        <w:tblLook w:val="04A0" w:firstRow="1" w:lastRow="0" w:firstColumn="1" w:lastColumn="0" w:noHBand="0" w:noVBand="1"/>
      </w:tblPr>
      <w:tblGrid>
        <w:gridCol w:w="3398"/>
        <w:gridCol w:w="623"/>
        <w:gridCol w:w="621"/>
        <w:gridCol w:w="621"/>
        <w:gridCol w:w="621"/>
        <w:gridCol w:w="621"/>
        <w:gridCol w:w="621"/>
        <w:gridCol w:w="621"/>
        <w:gridCol w:w="621"/>
        <w:gridCol w:w="621"/>
        <w:gridCol w:w="621"/>
        <w:gridCol w:w="739"/>
      </w:tblGrid>
      <w:tr w:rsidR="006D2651" w:rsidRPr="006D2651" w14:paraId="715EE1C4" w14:textId="77777777" w:rsidTr="00C34994">
        <w:trPr>
          <w:trHeight w:val="440"/>
        </w:trPr>
        <w:tc>
          <w:tcPr>
            <w:tcW w:w="16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12093"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4A3BA8B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Y11</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6DC4D53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Y12</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333388A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Y13</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5B0F209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Y14</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6E627FE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53D2619E"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Y16</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48F7BEFE"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Y17</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6366F2E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Y18</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7F80B56B"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Y19</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07BCCA9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70B52BD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Total</w:t>
            </w:r>
          </w:p>
        </w:tc>
      </w:tr>
      <w:tr w:rsidR="006D2651" w:rsidRPr="006D2651" w14:paraId="4F9711B8" w14:textId="77777777" w:rsidTr="00C34994">
        <w:trPr>
          <w:trHeight w:val="3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60080B52"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301" w:type="pct"/>
            <w:tcBorders>
              <w:top w:val="nil"/>
              <w:left w:val="nil"/>
              <w:bottom w:val="single" w:sz="4" w:space="0" w:color="auto"/>
              <w:right w:val="single" w:sz="4" w:space="0" w:color="auto"/>
            </w:tcBorders>
            <w:shd w:val="clear" w:color="auto" w:fill="auto"/>
            <w:noWrap/>
            <w:vAlign w:val="center"/>
            <w:hideMark/>
          </w:tcPr>
          <w:p w14:paraId="2FA7310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3C10335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548E054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676DD7A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7BF7E1F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6FA56E1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387D57C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3B9D24A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1694708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00" w:type="pct"/>
            <w:tcBorders>
              <w:top w:val="nil"/>
              <w:left w:val="nil"/>
              <w:bottom w:val="single" w:sz="4" w:space="0" w:color="auto"/>
              <w:right w:val="single" w:sz="4" w:space="0" w:color="auto"/>
            </w:tcBorders>
            <w:shd w:val="clear" w:color="auto" w:fill="auto"/>
            <w:noWrap/>
            <w:vAlign w:val="center"/>
            <w:hideMark/>
          </w:tcPr>
          <w:p w14:paraId="57AD3AD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57" w:type="pct"/>
            <w:tcBorders>
              <w:top w:val="nil"/>
              <w:left w:val="nil"/>
              <w:bottom w:val="single" w:sz="4" w:space="0" w:color="auto"/>
              <w:right w:val="single" w:sz="4" w:space="0" w:color="auto"/>
            </w:tcBorders>
            <w:shd w:val="clear" w:color="auto" w:fill="auto"/>
            <w:noWrap/>
            <w:vAlign w:val="center"/>
            <w:hideMark/>
          </w:tcPr>
          <w:p w14:paraId="2BB811FE"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53795F2E" w14:textId="77777777" w:rsidTr="00C34994">
        <w:trPr>
          <w:trHeight w:val="332"/>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718F8E84"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301" w:type="pct"/>
            <w:tcBorders>
              <w:top w:val="nil"/>
              <w:left w:val="nil"/>
              <w:bottom w:val="single" w:sz="4" w:space="0" w:color="auto"/>
              <w:right w:val="single" w:sz="4" w:space="0" w:color="auto"/>
            </w:tcBorders>
            <w:shd w:val="clear" w:color="auto" w:fill="auto"/>
            <w:noWrap/>
            <w:vAlign w:val="center"/>
            <w:hideMark/>
          </w:tcPr>
          <w:p w14:paraId="2B5B538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699FC8A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31E125A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256F3F7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37E31F2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1F2F3AB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71EB671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6EE013C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2562F14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00" w:type="pct"/>
            <w:tcBorders>
              <w:top w:val="nil"/>
              <w:left w:val="nil"/>
              <w:bottom w:val="single" w:sz="4" w:space="0" w:color="auto"/>
              <w:right w:val="single" w:sz="4" w:space="0" w:color="auto"/>
            </w:tcBorders>
            <w:shd w:val="clear" w:color="auto" w:fill="auto"/>
            <w:noWrap/>
            <w:vAlign w:val="center"/>
            <w:hideMark/>
          </w:tcPr>
          <w:p w14:paraId="5FCF687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57" w:type="pct"/>
            <w:tcBorders>
              <w:top w:val="nil"/>
              <w:left w:val="nil"/>
              <w:bottom w:val="single" w:sz="4" w:space="0" w:color="auto"/>
              <w:right w:val="single" w:sz="4" w:space="0" w:color="auto"/>
            </w:tcBorders>
            <w:shd w:val="clear" w:color="auto" w:fill="auto"/>
            <w:noWrap/>
            <w:vAlign w:val="center"/>
            <w:hideMark/>
          </w:tcPr>
          <w:p w14:paraId="32E6989C"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629B6C45" w14:textId="77777777" w:rsidTr="00C34994">
        <w:trPr>
          <w:trHeight w:val="376"/>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72453EA0"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301" w:type="pct"/>
            <w:tcBorders>
              <w:top w:val="nil"/>
              <w:left w:val="nil"/>
              <w:bottom w:val="single" w:sz="4" w:space="0" w:color="auto"/>
              <w:right w:val="single" w:sz="4" w:space="0" w:color="auto"/>
            </w:tcBorders>
            <w:shd w:val="clear" w:color="auto" w:fill="auto"/>
            <w:noWrap/>
            <w:vAlign w:val="center"/>
            <w:hideMark/>
          </w:tcPr>
          <w:p w14:paraId="658074F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0C12FBE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F57535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6424284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5A2B4F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A91905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D5BFBE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5CDAB42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D3D94E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E865B3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57" w:type="pct"/>
            <w:tcBorders>
              <w:top w:val="nil"/>
              <w:left w:val="nil"/>
              <w:bottom w:val="single" w:sz="4" w:space="0" w:color="auto"/>
              <w:right w:val="single" w:sz="4" w:space="0" w:color="auto"/>
            </w:tcBorders>
            <w:shd w:val="clear" w:color="auto" w:fill="auto"/>
            <w:noWrap/>
            <w:vAlign w:val="center"/>
            <w:hideMark/>
          </w:tcPr>
          <w:p w14:paraId="13669CD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r>
      <w:tr w:rsidR="006D2651" w:rsidRPr="006D2651" w14:paraId="204F6249" w14:textId="77777777" w:rsidTr="00C34994">
        <w:trPr>
          <w:trHeight w:val="314"/>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7F958B8C"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volumes(MMTPA)</w:t>
            </w:r>
          </w:p>
        </w:tc>
        <w:tc>
          <w:tcPr>
            <w:tcW w:w="301" w:type="pct"/>
            <w:tcBorders>
              <w:top w:val="nil"/>
              <w:left w:val="nil"/>
              <w:bottom w:val="single" w:sz="4" w:space="0" w:color="auto"/>
              <w:right w:val="single" w:sz="4" w:space="0" w:color="auto"/>
            </w:tcBorders>
            <w:shd w:val="clear" w:color="auto" w:fill="auto"/>
            <w:noWrap/>
            <w:hideMark/>
          </w:tcPr>
          <w:p w14:paraId="27177D1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4B25846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79549EE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3E620FE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53095CC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2939E15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2C85A6C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1E5C360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529074B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00" w:type="pct"/>
            <w:tcBorders>
              <w:top w:val="nil"/>
              <w:left w:val="nil"/>
              <w:bottom w:val="single" w:sz="4" w:space="0" w:color="auto"/>
              <w:right w:val="single" w:sz="4" w:space="0" w:color="auto"/>
            </w:tcBorders>
            <w:shd w:val="clear" w:color="auto" w:fill="auto"/>
            <w:noWrap/>
            <w:hideMark/>
          </w:tcPr>
          <w:p w14:paraId="0AD98A3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57" w:type="pct"/>
            <w:tcBorders>
              <w:top w:val="nil"/>
              <w:left w:val="nil"/>
              <w:bottom w:val="single" w:sz="4" w:space="0" w:color="auto"/>
              <w:right w:val="single" w:sz="4" w:space="0" w:color="auto"/>
            </w:tcBorders>
            <w:shd w:val="clear" w:color="auto" w:fill="auto"/>
            <w:noWrap/>
            <w:vAlign w:val="center"/>
            <w:hideMark/>
          </w:tcPr>
          <w:p w14:paraId="56980046"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26749F45" w14:textId="77777777" w:rsidTr="00C34994">
        <w:trPr>
          <w:trHeight w:val="67"/>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207A50BB"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adjustment(MMTPA)</w:t>
            </w:r>
          </w:p>
        </w:tc>
        <w:tc>
          <w:tcPr>
            <w:tcW w:w="301" w:type="pct"/>
            <w:tcBorders>
              <w:top w:val="nil"/>
              <w:left w:val="nil"/>
              <w:bottom w:val="single" w:sz="4" w:space="0" w:color="auto"/>
              <w:right w:val="single" w:sz="4" w:space="0" w:color="auto"/>
            </w:tcBorders>
            <w:shd w:val="clear" w:color="auto" w:fill="auto"/>
            <w:noWrap/>
            <w:vAlign w:val="center"/>
            <w:hideMark/>
          </w:tcPr>
          <w:p w14:paraId="0F77D0F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0298E5C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3EB2FC4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7384D72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A3E0BB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4953652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1F5BAF6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1B64EB6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09A7478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00" w:type="pct"/>
            <w:tcBorders>
              <w:top w:val="nil"/>
              <w:left w:val="nil"/>
              <w:bottom w:val="single" w:sz="4" w:space="0" w:color="auto"/>
              <w:right w:val="single" w:sz="4" w:space="0" w:color="auto"/>
            </w:tcBorders>
            <w:shd w:val="clear" w:color="auto" w:fill="auto"/>
            <w:noWrap/>
            <w:vAlign w:val="center"/>
            <w:hideMark/>
          </w:tcPr>
          <w:p w14:paraId="716FC49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57" w:type="pct"/>
            <w:tcBorders>
              <w:top w:val="nil"/>
              <w:left w:val="nil"/>
              <w:bottom w:val="single" w:sz="4" w:space="0" w:color="auto"/>
              <w:right w:val="single" w:sz="4" w:space="0" w:color="auto"/>
            </w:tcBorders>
            <w:shd w:val="clear" w:color="auto" w:fill="auto"/>
            <w:noWrap/>
            <w:vAlign w:val="center"/>
            <w:hideMark/>
          </w:tcPr>
          <w:p w14:paraId="67D661D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r>
    </w:tbl>
    <w:p w14:paraId="4CD89DAC" w14:textId="270CC5FC" w:rsidR="006D2651" w:rsidRPr="006D2651" w:rsidRDefault="006D2651" w:rsidP="006D2651">
      <w:pPr>
        <w:spacing w:after="160"/>
        <w:ind w:left="717"/>
        <w:rPr>
          <w:rFonts w:ascii="Times New Roman" w:hAnsi="Times New Roman"/>
          <w:sz w:val="20"/>
          <w:szCs w:val="20"/>
        </w:rPr>
      </w:pPr>
    </w:p>
    <w:p w14:paraId="2D25AFB2" w14:textId="38234695" w:rsidR="006D2651" w:rsidRDefault="006D2651" w:rsidP="006D2651">
      <w:pPr>
        <w:pStyle w:val="ListParagraph"/>
        <w:numPr>
          <w:ilvl w:val="0"/>
          <w:numId w:val="21"/>
        </w:numPr>
        <w:spacing w:after="0"/>
        <w:rPr>
          <w:rFonts w:ascii="Times New Roman" w:hAnsi="Times New Roman"/>
          <w:sz w:val="20"/>
          <w:szCs w:val="20"/>
        </w:rPr>
      </w:pPr>
      <w:r w:rsidRPr="006D2651">
        <w:rPr>
          <w:rFonts w:ascii="Times New Roman" w:hAnsi="Times New Roman"/>
          <w:sz w:val="20"/>
          <w:szCs w:val="20"/>
        </w:rPr>
        <w:t>Volume adjustment and volume after 10 years of inception</w:t>
      </w:r>
    </w:p>
    <w:p w14:paraId="18C6196D" w14:textId="17D6153E" w:rsidR="00C90AAE" w:rsidRPr="006D2651" w:rsidRDefault="00C90AAE" w:rsidP="00C90AAE">
      <w:pPr>
        <w:pStyle w:val="ListParagraph"/>
        <w:spacing w:after="0"/>
        <w:ind w:left="717"/>
        <w:rPr>
          <w:rFonts w:ascii="Times New Roman" w:hAnsi="Times New Roman"/>
          <w:sz w:val="20"/>
          <w:szCs w:val="20"/>
        </w:rPr>
      </w:pPr>
    </w:p>
    <w:tbl>
      <w:tblPr>
        <w:tblW w:w="5336" w:type="pct"/>
        <w:tblInd w:w="-431" w:type="dxa"/>
        <w:tblLayout w:type="fixed"/>
        <w:tblLook w:val="04A0" w:firstRow="1" w:lastRow="0" w:firstColumn="1" w:lastColumn="0" w:noHBand="0" w:noVBand="1"/>
      </w:tblPr>
      <w:tblGrid>
        <w:gridCol w:w="4098"/>
        <w:gridCol w:w="578"/>
        <w:gridCol w:w="586"/>
        <w:gridCol w:w="589"/>
        <w:gridCol w:w="589"/>
        <w:gridCol w:w="589"/>
        <w:gridCol w:w="591"/>
        <w:gridCol w:w="591"/>
        <w:gridCol w:w="591"/>
        <w:gridCol w:w="591"/>
        <w:gridCol w:w="585"/>
      </w:tblGrid>
      <w:tr w:rsidR="006D2651" w:rsidRPr="006D2651" w14:paraId="272EFC83" w14:textId="77777777" w:rsidTr="00C34994">
        <w:trPr>
          <w:trHeight w:val="337"/>
        </w:trPr>
        <w:tc>
          <w:tcPr>
            <w:tcW w:w="20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FBD6"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14:paraId="27B6EEC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FF20375"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727B72D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04F0E1E5"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Y4</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2816CE8E"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Y5</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DFEF88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Y6</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9920055"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Y7</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41237ED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Y8</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9C4EBC6"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Y9</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6295C838"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Y10</w:t>
            </w:r>
          </w:p>
        </w:tc>
      </w:tr>
      <w:tr w:rsidR="006D2651" w:rsidRPr="006D2651" w14:paraId="63945F64" w14:textId="77777777" w:rsidTr="00C34994">
        <w:trPr>
          <w:trHeight w:val="337"/>
        </w:trPr>
        <w:tc>
          <w:tcPr>
            <w:tcW w:w="2054" w:type="pct"/>
            <w:tcBorders>
              <w:top w:val="nil"/>
              <w:left w:val="single" w:sz="4" w:space="0" w:color="auto"/>
              <w:bottom w:val="single" w:sz="4" w:space="0" w:color="auto"/>
              <w:right w:val="single" w:sz="4" w:space="0" w:color="auto"/>
            </w:tcBorders>
            <w:shd w:val="clear" w:color="auto" w:fill="auto"/>
            <w:noWrap/>
            <w:vAlign w:val="center"/>
            <w:hideMark/>
          </w:tcPr>
          <w:p w14:paraId="509A0435"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290" w:type="pct"/>
            <w:tcBorders>
              <w:top w:val="nil"/>
              <w:left w:val="nil"/>
              <w:bottom w:val="single" w:sz="4" w:space="0" w:color="auto"/>
              <w:right w:val="single" w:sz="4" w:space="0" w:color="auto"/>
            </w:tcBorders>
            <w:shd w:val="clear" w:color="auto" w:fill="auto"/>
            <w:noWrap/>
            <w:vAlign w:val="center"/>
            <w:hideMark/>
          </w:tcPr>
          <w:p w14:paraId="3FA03E3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4" w:type="pct"/>
            <w:tcBorders>
              <w:top w:val="nil"/>
              <w:left w:val="nil"/>
              <w:bottom w:val="single" w:sz="4" w:space="0" w:color="auto"/>
              <w:right w:val="single" w:sz="4" w:space="0" w:color="auto"/>
            </w:tcBorders>
            <w:shd w:val="clear" w:color="auto" w:fill="auto"/>
            <w:noWrap/>
            <w:vAlign w:val="center"/>
            <w:hideMark/>
          </w:tcPr>
          <w:p w14:paraId="017ECEF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5" w:type="pct"/>
            <w:tcBorders>
              <w:top w:val="nil"/>
              <w:left w:val="nil"/>
              <w:bottom w:val="single" w:sz="4" w:space="0" w:color="auto"/>
              <w:right w:val="single" w:sz="4" w:space="0" w:color="auto"/>
            </w:tcBorders>
            <w:shd w:val="clear" w:color="auto" w:fill="auto"/>
            <w:noWrap/>
            <w:vAlign w:val="center"/>
            <w:hideMark/>
          </w:tcPr>
          <w:p w14:paraId="78D5D80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5" w:type="pct"/>
            <w:tcBorders>
              <w:top w:val="nil"/>
              <w:left w:val="nil"/>
              <w:bottom w:val="single" w:sz="4" w:space="0" w:color="auto"/>
              <w:right w:val="single" w:sz="4" w:space="0" w:color="auto"/>
            </w:tcBorders>
            <w:shd w:val="clear" w:color="auto" w:fill="auto"/>
            <w:noWrap/>
            <w:vAlign w:val="center"/>
            <w:hideMark/>
          </w:tcPr>
          <w:p w14:paraId="3ECD74A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5" w:type="pct"/>
            <w:tcBorders>
              <w:top w:val="nil"/>
              <w:left w:val="nil"/>
              <w:bottom w:val="single" w:sz="4" w:space="0" w:color="auto"/>
              <w:right w:val="single" w:sz="4" w:space="0" w:color="auto"/>
            </w:tcBorders>
            <w:shd w:val="clear" w:color="auto" w:fill="auto"/>
            <w:noWrap/>
            <w:vAlign w:val="center"/>
            <w:hideMark/>
          </w:tcPr>
          <w:p w14:paraId="6B006C6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6" w:type="pct"/>
            <w:tcBorders>
              <w:top w:val="nil"/>
              <w:left w:val="nil"/>
              <w:bottom w:val="single" w:sz="4" w:space="0" w:color="auto"/>
              <w:right w:val="single" w:sz="4" w:space="0" w:color="auto"/>
            </w:tcBorders>
            <w:shd w:val="clear" w:color="auto" w:fill="auto"/>
            <w:noWrap/>
            <w:vAlign w:val="center"/>
            <w:hideMark/>
          </w:tcPr>
          <w:p w14:paraId="0A4B876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6" w:type="pct"/>
            <w:tcBorders>
              <w:top w:val="nil"/>
              <w:left w:val="nil"/>
              <w:bottom w:val="single" w:sz="4" w:space="0" w:color="auto"/>
              <w:right w:val="single" w:sz="4" w:space="0" w:color="auto"/>
            </w:tcBorders>
            <w:shd w:val="clear" w:color="auto" w:fill="auto"/>
            <w:noWrap/>
            <w:vAlign w:val="center"/>
            <w:hideMark/>
          </w:tcPr>
          <w:p w14:paraId="0E9762E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6" w:type="pct"/>
            <w:tcBorders>
              <w:top w:val="nil"/>
              <w:left w:val="nil"/>
              <w:bottom w:val="single" w:sz="4" w:space="0" w:color="auto"/>
              <w:right w:val="single" w:sz="4" w:space="0" w:color="auto"/>
            </w:tcBorders>
            <w:shd w:val="clear" w:color="auto" w:fill="auto"/>
            <w:noWrap/>
            <w:vAlign w:val="center"/>
            <w:hideMark/>
          </w:tcPr>
          <w:p w14:paraId="60B9E68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6" w:type="pct"/>
            <w:tcBorders>
              <w:top w:val="nil"/>
              <w:left w:val="nil"/>
              <w:bottom w:val="single" w:sz="4" w:space="0" w:color="auto"/>
              <w:right w:val="single" w:sz="4" w:space="0" w:color="auto"/>
            </w:tcBorders>
            <w:shd w:val="clear" w:color="auto" w:fill="auto"/>
            <w:noWrap/>
            <w:vAlign w:val="center"/>
            <w:hideMark/>
          </w:tcPr>
          <w:p w14:paraId="56CD7BC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24120D4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r>
      <w:tr w:rsidR="006D2651" w:rsidRPr="006D2651" w14:paraId="074C024D" w14:textId="77777777" w:rsidTr="00C34994">
        <w:trPr>
          <w:trHeight w:val="337"/>
        </w:trPr>
        <w:tc>
          <w:tcPr>
            <w:tcW w:w="2054" w:type="pct"/>
            <w:tcBorders>
              <w:top w:val="nil"/>
              <w:left w:val="single" w:sz="4" w:space="0" w:color="auto"/>
              <w:bottom w:val="single" w:sz="4" w:space="0" w:color="auto"/>
              <w:right w:val="single" w:sz="4" w:space="0" w:color="auto"/>
            </w:tcBorders>
            <w:shd w:val="clear" w:color="auto" w:fill="auto"/>
            <w:noWrap/>
            <w:vAlign w:val="center"/>
            <w:hideMark/>
          </w:tcPr>
          <w:p w14:paraId="4E1C702B"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290" w:type="pct"/>
            <w:tcBorders>
              <w:top w:val="nil"/>
              <w:left w:val="nil"/>
              <w:bottom w:val="single" w:sz="4" w:space="0" w:color="auto"/>
              <w:right w:val="single" w:sz="4" w:space="0" w:color="auto"/>
            </w:tcBorders>
            <w:shd w:val="clear" w:color="auto" w:fill="auto"/>
            <w:noWrap/>
            <w:vAlign w:val="center"/>
            <w:hideMark/>
          </w:tcPr>
          <w:p w14:paraId="3408109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w:t>
            </w:r>
          </w:p>
        </w:tc>
        <w:tc>
          <w:tcPr>
            <w:tcW w:w="294" w:type="pct"/>
            <w:tcBorders>
              <w:top w:val="nil"/>
              <w:left w:val="nil"/>
              <w:bottom w:val="single" w:sz="4" w:space="0" w:color="auto"/>
              <w:right w:val="single" w:sz="4" w:space="0" w:color="auto"/>
            </w:tcBorders>
            <w:shd w:val="clear" w:color="auto" w:fill="auto"/>
            <w:noWrap/>
            <w:vAlign w:val="center"/>
            <w:hideMark/>
          </w:tcPr>
          <w:p w14:paraId="34714B1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35</w:t>
            </w:r>
          </w:p>
        </w:tc>
        <w:tc>
          <w:tcPr>
            <w:tcW w:w="295" w:type="pct"/>
            <w:tcBorders>
              <w:top w:val="nil"/>
              <w:left w:val="nil"/>
              <w:bottom w:val="single" w:sz="4" w:space="0" w:color="auto"/>
              <w:right w:val="single" w:sz="4" w:space="0" w:color="auto"/>
            </w:tcBorders>
            <w:shd w:val="clear" w:color="auto" w:fill="auto"/>
            <w:noWrap/>
            <w:vAlign w:val="center"/>
            <w:hideMark/>
          </w:tcPr>
          <w:p w14:paraId="7959BFB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40</w:t>
            </w:r>
          </w:p>
        </w:tc>
        <w:tc>
          <w:tcPr>
            <w:tcW w:w="295" w:type="pct"/>
            <w:tcBorders>
              <w:top w:val="nil"/>
              <w:left w:val="nil"/>
              <w:bottom w:val="single" w:sz="4" w:space="0" w:color="auto"/>
              <w:right w:val="single" w:sz="4" w:space="0" w:color="auto"/>
            </w:tcBorders>
            <w:shd w:val="clear" w:color="auto" w:fill="auto"/>
            <w:noWrap/>
            <w:vAlign w:val="center"/>
            <w:hideMark/>
          </w:tcPr>
          <w:p w14:paraId="031BAE1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w:t>
            </w:r>
          </w:p>
        </w:tc>
        <w:tc>
          <w:tcPr>
            <w:tcW w:w="295" w:type="pct"/>
            <w:tcBorders>
              <w:top w:val="nil"/>
              <w:left w:val="nil"/>
              <w:bottom w:val="single" w:sz="4" w:space="0" w:color="auto"/>
              <w:right w:val="single" w:sz="4" w:space="0" w:color="auto"/>
            </w:tcBorders>
            <w:shd w:val="clear" w:color="auto" w:fill="auto"/>
            <w:noWrap/>
            <w:vAlign w:val="center"/>
            <w:hideMark/>
          </w:tcPr>
          <w:p w14:paraId="57F2523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50</w:t>
            </w:r>
          </w:p>
        </w:tc>
        <w:tc>
          <w:tcPr>
            <w:tcW w:w="296" w:type="pct"/>
            <w:tcBorders>
              <w:top w:val="nil"/>
              <w:left w:val="nil"/>
              <w:bottom w:val="single" w:sz="4" w:space="0" w:color="auto"/>
              <w:right w:val="single" w:sz="4" w:space="0" w:color="auto"/>
            </w:tcBorders>
            <w:shd w:val="clear" w:color="auto" w:fill="auto"/>
            <w:noWrap/>
            <w:vAlign w:val="center"/>
            <w:hideMark/>
          </w:tcPr>
          <w:p w14:paraId="0649DC9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w:t>
            </w:r>
          </w:p>
        </w:tc>
        <w:tc>
          <w:tcPr>
            <w:tcW w:w="296" w:type="pct"/>
            <w:tcBorders>
              <w:top w:val="nil"/>
              <w:left w:val="nil"/>
              <w:bottom w:val="single" w:sz="4" w:space="0" w:color="auto"/>
              <w:right w:val="single" w:sz="4" w:space="0" w:color="auto"/>
            </w:tcBorders>
            <w:shd w:val="clear" w:color="auto" w:fill="auto"/>
            <w:noWrap/>
            <w:vAlign w:val="center"/>
            <w:hideMark/>
          </w:tcPr>
          <w:p w14:paraId="5AA10D1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70</w:t>
            </w:r>
          </w:p>
        </w:tc>
        <w:tc>
          <w:tcPr>
            <w:tcW w:w="296" w:type="pct"/>
            <w:tcBorders>
              <w:top w:val="nil"/>
              <w:left w:val="nil"/>
              <w:bottom w:val="single" w:sz="4" w:space="0" w:color="auto"/>
              <w:right w:val="single" w:sz="4" w:space="0" w:color="auto"/>
            </w:tcBorders>
            <w:shd w:val="clear" w:color="auto" w:fill="auto"/>
            <w:noWrap/>
            <w:vAlign w:val="center"/>
            <w:hideMark/>
          </w:tcPr>
          <w:p w14:paraId="6F80CD1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80</w:t>
            </w:r>
          </w:p>
        </w:tc>
        <w:tc>
          <w:tcPr>
            <w:tcW w:w="296" w:type="pct"/>
            <w:tcBorders>
              <w:top w:val="nil"/>
              <w:left w:val="nil"/>
              <w:bottom w:val="single" w:sz="4" w:space="0" w:color="auto"/>
              <w:right w:val="single" w:sz="4" w:space="0" w:color="auto"/>
            </w:tcBorders>
            <w:shd w:val="clear" w:color="auto" w:fill="auto"/>
            <w:noWrap/>
            <w:vAlign w:val="center"/>
            <w:hideMark/>
          </w:tcPr>
          <w:p w14:paraId="3B4947C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w:t>
            </w:r>
          </w:p>
        </w:tc>
        <w:tc>
          <w:tcPr>
            <w:tcW w:w="293" w:type="pct"/>
            <w:tcBorders>
              <w:top w:val="nil"/>
              <w:left w:val="nil"/>
              <w:bottom w:val="single" w:sz="4" w:space="0" w:color="auto"/>
              <w:right w:val="single" w:sz="4" w:space="0" w:color="auto"/>
            </w:tcBorders>
            <w:shd w:val="clear" w:color="auto" w:fill="auto"/>
            <w:noWrap/>
            <w:vAlign w:val="center"/>
            <w:hideMark/>
          </w:tcPr>
          <w:p w14:paraId="05541F9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r>
      <w:tr w:rsidR="006D2651" w:rsidRPr="006D2651" w14:paraId="66DC23FB" w14:textId="77777777" w:rsidTr="00C34994">
        <w:trPr>
          <w:trHeight w:val="337"/>
        </w:trPr>
        <w:tc>
          <w:tcPr>
            <w:tcW w:w="2054" w:type="pct"/>
            <w:tcBorders>
              <w:top w:val="nil"/>
              <w:left w:val="single" w:sz="4" w:space="0" w:color="auto"/>
              <w:bottom w:val="single" w:sz="4" w:space="0" w:color="auto"/>
              <w:right w:val="single" w:sz="4" w:space="0" w:color="auto"/>
            </w:tcBorders>
            <w:shd w:val="clear" w:color="auto" w:fill="auto"/>
            <w:noWrap/>
            <w:vAlign w:val="center"/>
            <w:hideMark/>
          </w:tcPr>
          <w:p w14:paraId="0A010AC9"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290" w:type="pct"/>
            <w:tcBorders>
              <w:top w:val="nil"/>
              <w:left w:val="nil"/>
              <w:bottom w:val="single" w:sz="4" w:space="0" w:color="auto"/>
              <w:right w:val="single" w:sz="4" w:space="0" w:color="auto"/>
            </w:tcBorders>
            <w:shd w:val="clear" w:color="auto" w:fill="auto"/>
            <w:noWrap/>
            <w:vAlign w:val="bottom"/>
            <w:hideMark/>
          </w:tcPr>
          <w:p w14:paraId="65076715"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2.25 </w:t>
            </w:r>
          </w:p>
        </w:tc>
        <w:tc>
          <w:tcPr>
            <w:tcW w:w="294" w:type="pct"/>
            <w:tcBorders>
              <w:top w:val="nil"/>
              <w:left w:val="nil"/>
              <w:bottom w:val="single" w:sz="4" w:space="0" w:color="auto"/>
              <w:right w:val="single" w:sz="4" w:space="0" w:color="auto"/>
            </w:tcBorders>
            <w:shd w:val="clear" w:color="auto" w:fill="auto"/>
            <w:noWrap/>
            <w:vAlign w:val="bottom"/>
            <w:hideMark/>
          </w:tcPr>
          <w:p w14:paraId="680A74F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2.63 </w:t>
            </w:r>
          </w:p>
        </w:tc>
        <w:tc>
          <w:tcPr>
            <w:tcW w:w="295" w:type="pct"/>
            <w:tcBorders>
              <w:top w:val="nil"/>
              <w:left w:val="nil"/>
              <w:bottom w:val="single" w:sz="4" w:space="0" w:color="auto"/>
              <w:right w:val="single" w:sz="4" w:space="0" w:color="auto"/>
            </w:tcBorders>
            <w:shd w:val="clear" w:color="auto" w:fill="auto"/>
            <w:noWrap/>
            <w:vAlign w:val="bottom"/>
            <w:hideMark/>
          </w:tcPr>
          <w:p w14:paraId="7435BD28"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3.00 </w:t>
            </w:r>
          </w:p>
        </w:tc>
        <w:tc>
          <w:tcPr>
            <w:tcW w:w="295" w:type="pct"/>
            <w:tcBorders>
              <w:top w:val="nil"/>
              <w:left w:val="nil"/>
              <w:bottom w:val="single" w:sz="4" w:space="0" w:color="auto"/>
              <w:right w:val="single" w:sz="4" w:space="0" w:color="auto"/>
            </w:tcBorders>
            <w:shd w:val="clear" w:color="auto" w:fill="auto"/>
            <w:noWrap/>
            <w:vAlign w:val="bottom"/>
            <w:hideMark/>
          </w:tcPr>
          <w:p w14:paraId="4CA6A5C9"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3.38 </w:t>
            </w:r>
          </w:p>
        </w:tc>
        <w:tc>
          <w:tcPr>
            <w:tcW w:w="295" w:type="pct"/>
            <w:tcBorders>
              <w:top w:val="nil"/>
              <w:left w:val="nil"/>
              <w:bottom w:val="single" w:sz="4" w:space="0" w:color="auto"/>
              <w:right w:val="single" w:sz="4" w:space="0" w:color="auto"/>
            </w:tcBorders>
            <w:shd w:val="clear" w:color="auto" w:fill="auto"/>
            <w:noWrap/>
            <w:vAlign w:val="bottom"/>
            <w:hideMark/>
          </w:tcPr>
          <w:p w14:paraId="3032EC68"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3.75 </w:t>
            </w:r>
          </w:p>
        </w:tc>
        <w:tc>
          <w:tcPr>
            <w:tcW w:w="296" w:type="pct"/>
            <w:tcBorders>
              <w:top w:val="nil"/>
              <w:left w:val="nil"/>
              <w:bottom w:val="single" w:sz="4" w:space="0" w:color="auto"/>
              <w:right w:val="single" w:sz="4" w:space="0" w:color="auto"/>
            </w:tcBorders>
            <w:shd w:val="clear" w:color="auto" w:fill="auto"/>
            <w:noWrap/>
            <w:vAlign w:val="bottom"/>
            <w:hideMark/>
          </w:tcPr>
          <w:p w14:paraId="2CA42A33"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4.50 </w:t>
            </w:r>
          </w:p>
        </w:tc>
        <w:tc>
          <w:tcPr>
            <w:tcW w:w="296" w:type="pct"/>
            <w:tcBorders>
              <w:top w:val="nil"/>
              <w:left w:val="nil"/>
              <w:bottom w:val="single" w:sz="4" w:space="0" w:color="auto"/>
              <w:right w:val="single" w:sz="4" w:space="0" w:color="auto"/>
            </w:tcBorders>
            <w:shd w:val="clear" w:color="auto" w:fill="auto"/>
            <w:noWrap/>
            <w:vAlign w:val="bottom"/>
            <w:hideMark/>
          </w:tcPr>
          <w:p w14:paraId="30F3A6E4"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5.25 </w:t>
            </w:r>
          </w:p>
        </w:tc>
        <w:tc>
          <w:tcPr>
            <w:tcW w:w="296" w:type="pct"/>
            <w:tcBorders>
              <w:top w:val="nil"/>
              <w:left w:val="nil"/>
              <w:bottom w:val="single" w:sz="4" w:space="0" w:color="auto"/>
              <w:right w:val="single" w:sz="4" w:space="0" w:color="auto"/>
            </w:tcBorders>
            <w:shd w:val="clear" w:color="auto" w:fill="auto"/>
            <w:noWrap/>
            <w:vAlign w:val="bottom"/>
            <w:hideMark/>
          </w:tcPr>
          <w:p w14:paraId="0E5653CB"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6.00 </w:t>
            </w:r>
          </w:p>
        </w:tc>
        <w:tc>
          <w:tcPr>
            <w:tcW w:w="296" w:type="pct"/>
            <w:tcBorders>
              <w:top w:val="nil"/>
              <w:left w:val="nil"/>
              <w:bottom w:val="single" w:sz="4" w:space="0" w:color="auto"/>
              <w:right w:val="single" w:sz="4" w:space="0" w:color="auto"/>
            </w:tcBorders>
            <w:shd w:val="clear" w:color="auto" w:fill="auto"/>
            <w:noWrap/>
            <w:vAlign w:val="bottom"/>
            <w:hideMark/>
          </w:tcPr>
          <w:p w14:paraId="20D959DB"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6.75 </w:t>
            </w:r>
          </w:p>
        </w:tc>
        <w:tc>
          <w:tcPr>
            <w:tcW w:w="293" w:type="pct"/>
            <w:tcBorders>
              <w:top w:val="nil"/>
              <w:left w:val="nil"/>
              <w:bottom w:val="single" w:sz="4" w:space="0" w:color="auto"/>
              <w:right w:val="single" w:sz="4" w:space="0" w:color="auto"/>
            </w:tcBorders>
            <w:shd w:val="clear" w:color="auto" w:fill="auto"/>
            <w:noWrap/>
            <w:vAlign w:val="bottom"/>
            <w:hideMark/>
          </w:tcPr>
          <w:p w14:paraId="4D58E87F"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7.50 </w:t>
            </w:r>
          </w:p>
        </w:tc>
      </w:tr>
      <w:tr w:rsidR="006D2651" w:rsidRPr="006D2651" w14:paraId="0C09E8C9" w14:textId="77777777" w:rsidTr="00C34994">
        <w:trPr>
          <w:trHeight w:val="337"/>
        </w:trPr>
        <w:tc>
          <w:tcPr>
            <w:tcW w:w="2054" w:type="pct"/>
            <w:tcBorders>
              <w:top w:val="nil"/>
              <w:left w:val="single" w:sz="4" w:space="0" w:color="auto"/>
              <w:bottom w:val="single" w:sz="4" w:space="0" w:color="auto"/>
              <w:right w:val="single" w:sz="4" w:space="0" w:color="auto"/>
            </w:tcBorders>
            <w:shd w:val="clear" w:color="auto" w:fill="auto"/>
            <w:noWrap/>
            <w:vAlign w:val="center"/>
            <w:hideMark/>
          </w:tcPr>
          <w:p w14:paraId="265D37D7"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volumes(MMTPA)</w:t>
            </w:r>
          </w:p>
        </w:tc>
        <w:tc>
          <w:tcPr>
            <w:tcW w:w="290" w:type="pct"/>
            <w:tcBorders>
              <w:top w:val="nil"/>
              <w:left w:val="nil"/>
              <w:bottom w:val="single" w:sz="4" w:space="0" w:color="auto"/>
              <w:right w:val="single" w:sz="4" w:space="0" w:color="auto"/>
            </w:tcBorders>
            <w:shd w:val="clear" w:color="auto" w:fill="auto"/>
            <w:noWrap/>
            <w:vAlign w:val="bottom"/>
            <w:hideMark/>
          </w:tcPr>
          <w:p w14:paraId="6133FCE8"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2.00 </w:t>
            </w:r>
          </w:p>
        </w:tc>
        <w:tc>
          <w:tcPr>
            <w:tcW w:w="294" w:type="pct"/>
            <w:tcBorders>
              <w:top w:val="nil"/>
              <w:left w:val="nil"/>
              <w:bottom w:val="single" w:sz="4" w:space="0" w:color="auto"/>
              <w:right w:val="single" w:sz="4" w:space="0" w:color="auto"/>
            </w:tcBorders>
            <w:shd w:val="clear" w:color="auto" w:fill="auto"/>
            <w:noWrap/>
            <w:vAlign w:val="bottom"/>
            <w:hideMark/>
          </w:tcPr>
          <w:p w14:paraId="227A4D44"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2.85 </w:t>
            </w:r>
          </w:p>
        </w:tc>
        <w:tc>
          <w:tcPr>
            <w:tcW w:w="295" w:type="pct"/>
            <w:tcBorders>
              <w:top w:val="nil"/>
              <w:left w:val="nil"/>
              <w:bottom w:val="single" w:sz="4" w:space="0" w:color="auto"/>
              <w:right w:val="single" w:sz="4" w:space="0" w:color="auto"/>
            </w:tcBorders>
            <w:shd w:val="clear" w:color="auto" w:fill="auto"/>
            <w:noWrap/>
            <w:vAlign w:val="bottom"/>
            <w:hideMark/>
          </w:tcPr>
          <w:p w14:paraId="48F2DC4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3.00 </w:t>
            </w:r>
          </w:p>
        </w:tc>
        <w:tc>
          <w:tcPr>
            <w:tcW w:w="295" w:type="pct"/>
            <w:tcBorders>
              <w:top w:val="nil"/>
              <w:left w:val="nil"/>
              <w:bottom w:val="single" w:sz="4" w:space="0" w:color="auto"/>
              <w:right w:val="single" w:sz="4" w:space="0" w:color="auto"/>
            </w:tcBorders>
            <w:shd w:val="clear" w:color="auto" w:fill="auto"/>
            <w:noWrap/>
            <w:vAlign w:val="bottom"/>
            <w:hideMark/>
          </w:tcPr>
          <w:p w14:paraId="27F980F0"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3.00 </w:t>
            </w:r>
          </w:p>
        </w:tc>
        <w:tc>
          <w:tcPr>
            <w:tcW w:w="295" w:type="pct"/>
            <w:tcBorders>
              <w:top w:val="nil"/>
              <w:left w:val="nil"/>
              <w:bottom w:val="single" w:sz="4" w:space="0" w:color="auto"/>
              <w:right w:val="single" w:sz="4" w:space="0" w:color="auto"/>
            </w:tcBorders>
            <w:shd w:val="clear" w:color="auto" w:fill="auto"/>
            <w:noWrap/>
            <w:vAlign w:val="bottom"/>
            <w:hideMark/>
          </w:tcPr>
          <w:p w14:paraId="29D4354E"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3.45 </w:t>
            </w:r>
          </w:p>
        </w:tc>
        <w:tc>
          <w:tcPr>
            <w:tcW w:w="296" w:type="pct"/>
            <w:tcBorders>
              <w:top w:val="nil"/>
              <w:left w:val="nil"/>
              <w:bottom w:val="single" w:sz="4" w:space="0" w:color="auto"/>
              <w:right w:val="single" w:sz="4" w:space="0" w:color="auto"/>
            </w:tcBorders>
            <w:shd w:val="clear" w:color="auto" w:fill="auto"/>
            <w:noWrap/>
            <w:vAlign w:val="bottom"/>
            <w:hideMark/>
          </w:tcPr>
          <w:p w14:paraId="4D0DBB11"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4.45 </w:t>
            </w:r>
          </w:p>
        </w:tc>
        <w:tc>
          <w:tcPr>
            <w:tcW w:w="296" w:type="pct"/>
            <w:tcBorders>
              <w:top w:val="nil"/>
              <w:left w:val="nil"/>
              <w:bottom w:val="single" w:sz="4" w:space="0" w:color="auto"/>
              <w:right w:val="single" w:sz="4" w:space="0" w:color="auto"/>
            </w:tcBorders>
            <w:shd w:val="clear" w:color="auto" w:fill="auto"/>
            <w:noWrap/>
            <w:vAlign w:val="bottom"/>
            <w:hideMark/>
          </w:tcPr>
          <w:p w14:paraId="22CE4AD4"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5.20 </w:t>
            </w:r>
          </w:p>
        </w:tc>
        <w:tc>
          <w:tcPr>
            <w:tcW w:w="296" w:type="pct"/>
            <w:tcBorders>
              <w:top w:val="nil"/>
              <w:left w:val="nil"/>
              <w:bottom w:val="single" w:sz="4" w:space="0" w:color="auto"/>
              <w:right w:val="single" w:sz="4" w:space="0" w:color="auto"/>
            </w:tcBorders>
            <w:shd w:val="clear" w:color="auto" w:fill="auto"/>
            <w:noWrap/>
            <w:vAlign w:val="bottom"/>
            <w:hideMark/>
          </w:tcPr>
          <w:p w14:paraId="5F195DB6"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5.75 </w:t>
            </w:r>
          </w:p>
        </w:tc>
        <w:tc>
          <w:tcPr>
            <w:tcW w:w="296" w:type="pct"/>
            <w:tcBorders>
              <w:top w:val="nil"/>
              <w:left w:val="nil"/>
              <w:bottom w:val="single" w:sz="4" w:space="0" w:color="auto"/>
              <w:right w:val="single" w:sz="4" w:space="0" w:color="auto"/>
            </w:tcBorders>
            <w:shd w:val="clear" w:color="auto" w:fill="auto"/>
            <w:noWrap/>
            <w:vAlign w:val="bottom"/>
            <w:hideMark/>
          </w:tcPr>
          <w:p w14:paraId="6B2CFFE2"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6.85 </w:t>
            </w:r>
          </w:p>
        </w:tc>
        <w:tc>
          <w:tcPr>
            <w:tcW w:w="293" w:type="pct"/>
            <w:tcBorders>
              <w:top w:val="nil"/>
              <w:left w:val="nil"/>
              <w:bottom w:val="single" w:sz="4" w:space="0" w:color="auto"/>
              <w:right w:val="single" w:sz="4" w:space="0" w:color="auto"/>
            </w:tcBorders>
            <w:shd w:val="clear" w:color="auto" w:fill="auto"/>
            <w:noWrap/>
            <w:vAlign w:val="bottom"/>
            <w:hideMark/>
          </w:tcPr>
          <w:p w14:paraId="3861691A" w14:textId="77777777" w:rsidR="006D2651" w:rsidRPr="006D2651" w:rsidRDefault="006D2651" w:rsidP="006D2651">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8.25 </w:t>
            </w:r>
          </w:p>
        </w:tc>
      </w:tr>
      <w:tr w:rsidR="006D2651" w:rsidRPr="006D2651" w14:paraId="57C5C961" w14:textId="77777777" w:rsidTr="00C34994">
        <w:trPr>
          <w:trHeight w:val="337"/>
        </w:trPr>
        <w:tc>
          <w:tcPr>
            <w:tcW w:w="2054" w:type="pct"/>
            <w:tcBorders>
              <w:top w:val="nil"/>
              <w:left w:val="single" w:sz="4" w:space="0" w:color="auto"/>
              <w:bottom w:val="single" w:sz="4" w:space="0" w:color="auto"/>
              <w:right w:val="single" w:sz="4" w:space="0" w:color="auto"/>
            </w:tcBorders>
            <w:shd w:val="clear" w:color="auto" w:fill="auto"/>
            <w:noWrap/>
            <w:vAlign w:val="center"/>
            <w:hideMark/>
          </w:tcPr>
          <w:p w14:paraId="73340E6E"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adjustment(MMTPA)</w:t>
            </w:r>
          </w:p>
        </w:tc>
        <w:tc>
          <w:tcPr>
            <w:tcW w:w="290" w:type="pct"/>
            <w:tcBorders>
              <w:top w:val="nil"/>
              <w:left w:val="nil"/>
              <w:bottom w:val="single" w:sz="4" w:space="0" w:color="auto"/>
              <w:right w:val="single" w:sz="4" w:space="0" w:color="auto"/>
            </w:tcBorders>
            <w:shd w:val="clear" w:color="auto" w:fill="auto"/>
            <w:noWrap/>
            <w:vAlign w:val="center"/>
            <w:hideMark/>
          </w:tcPr>
          <w:p w14:paraId="2F1A80A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2.00 </w:t>
            </w:r>
          </w:p>
        </w:tc>
        <w:tc>
          <w:tcPr>
            <w:tcW w:w="294" w:type="pct"/>
            <w:tcBorders>
              <w:top w:val="nil"/>
              <w:left w:val="nil"/>
              <w:bottom w:val="single" w:sz="4" w:space="0" w:color="auto"/>
              <w:right w:val="single" w:sz="4" w:space="0" w:color="auto"/>
            </w:tcBorders>
            <w:shd w:val="clear" w:color="auto" w:fill="auto"/>
            <w:noWrap/>
            <w:vAlign w:val="center"/>
            <w:hideMark/>
          </w:tcPr>
          <w:p w14:paraId="26C5854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2.85 </w:t>
            </w:r>
          </w:p>
        </w:tc>
        <w:tc>
          <w:tcPr>
            <w:tcW w:w="295" w:type="pct"/>
            <w:tcBorders>
              <w:top w:val="nil"/>
              <w:left w:val="nil"/>
              <w:bottom w:val="single" w:sz="4" w:space="0" w:color="auto"/>
              <w:right w:val="single" w:sz="4" w:space="0" w:color="auto"/>
            </w:tcBorders>
            <w:shd w:val="clear" w:color="auto" w:fill="auto"/>
            <w:noWrap/>
            <w:vAlign w:val="center"/>
            <w:hideMark/>
          </w:tcPr>
          <w:p w14:paraId="0296674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3.00 </w:t>
            </w:r>
          </w:p>
        </w:tc>
        <w:tc>
          <w:tcPr>
            <w:tcW w:w="295" w:type="pct"/>
            <w:tcBorders>
              <w:top w:val="nil"/>
              <w:left w:val="nil"/>
              <w:bottom w:val="single" w:sz="4" w:space="0" w:color="auto"/>
              <w:right w:val="single" w:sz="4" w:space="0" w:color="auto"/>
            </w:tcBorders>
            <w:shd w:val="clear" w:color="auto" w:fill="auto"/>
            <w:noWrap/>
            <w:vAlign w:val="center"/>
            <w:hideMark/>
          </w:tcPr>
          <w:p w14:paraId="5F0600D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3.00 </w:t>
            </w:r>
          </w:p>
        </w:tc>
        <w:tc>
          <w:tcPr>
            <w:tcW w:w="295" w:type="pct"/>
            <w:tcBorders>
              <w:top w:val="nil"/>
              <w:left w:val="nil"/>
              <w:bottom w:val="single" w:sz="4" w:space="0" w:color="auto"/>
              <w:right w:val="single" w:sz="4" w:space="0" w:color="auto"/>
            </w:tcBorders>
            <w:shd w:val="clear" w:color="auto" w:fill="auto"/>
            <w:noWrap/>
            <w:vAlign w:val="center"/>
            <w:hideMark/>
          </w:tcPr>
          <w:p w14:paraId="045BFCD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3.45 </w:t>
            </w:r>
          </w:p>
        </w:tc>
        <w:tc>
          <w:tcPr>
            <w:tcW w:w="296" w:type="pct"/>
            <w:tcBorders>
              <w:top w:val="nil"/>
              <w:left w:val="nil"/>
              <w:bottom w:val="single" w:sz="4" w:space="0" w:color="auto"/>
              <w:right w:val="single" w:sz="4" w:space="0" w:color="auto"/>
            </w:tcBorders>
            <w:shd w:val="clear" w:color="auto" w:fill="auto"/>
            <w:noWrap/>
            <w:vAlign w:val="center"/>
            <w:hideMark/>
          </w:tcPr>
          <w:p w14:paraId="57FFE42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4.45</w:t>
            </w:r>
          </w:p>
        </w:tc>
        <w:tc>
          <w:tcPr>
            <w:tcW w:w="296" w:type="pct"/>
            <w:tcBorders>
              <w:top w:val="nil"/>
              <w:left w:val="nil"/>
              <w:bottom w:val="single" w:sz="4" w:space="0" w:color="auto"/>
              <w:right w:val="single" w:sz="4" w:space="0" w:color="auto"/>
            </w:tcBorders>
            <w:shd w:val="clear" w:color="auto" w:fill="auto"/>
            <w:noWrap/>
            <w:vAlign w:val="center"/>
            <w:hideMark/>
          </w:tcPr>
          <w:p w14:paraId="0EE0856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5.20 </w:t>
            </w:r>
          </w:p>
        </w:tc>
        <w:tc>
          <w:tcPr>
            <w:tcW w:w="296" w:type="pct"/>
            <w:tcBorders>
              <w:top w:val="nil"/>
              <w:left w:val="nil"/>
              <w:bottom w:val="single" w:sz="4" w:space="0" w:color="auto"/>
              <w:right w:val="single" w:sz="4" w:space="0" w:color="auto"/>
            </w:tcBorders>
            <w:shd w:val="clear" w:color="auto" w:fill="auto"/>
            <w:noWrap/>
            <w:vAlign w:val="center"/>
            <w:hideMark/>
          </w:tcPr>
          <w:p w14:paraId="566ACD6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5.95 </w:t>
            </w:r>
          </w:p>
        </w:tc>
        <w:tc>
          <w:tcPr>
            <w:tcW w:w="296" w:type="pct"/>
            <w:tcBorders>
              <w:top w:val="nil"/>
              <w:left w:val="nil"/>
              <w:bottom w:val="single" w:sz="4" w:space="0" w:color="auto"/>
              <w:right w:val="single" w:sz="4" w:space="0" w:color="auto"/>
            </w:tcBorders>
            <w:shd w:val="clear" w:color="auto" w:fill="auto"/>
            <w:noWrap/>
            <w:vAlign w:val="center"/>
            <w:hideMark/>
          </w:tcPr>
          <w:p w14:paraId="5A57EF5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6.85 </w:t>
            </w:r>
          </w:p>
        </w:tc>
        <w:tc>
          <w:tcPr>
            <w:tcW w:w="293" w:type="pct"/>
            <w:tcBorders>
              <w:top w:val="nil"/>
              <w:left w:val="nil"/>
              <w:bottom w:val="single" w:sz="4" w:space="0" w:color="auto"/>
              <w:right w:val="single" w:sz="4" w:space="0" w:color="auto"/>
            </w:tcBorders>
            <w:shd w:val="clear" w:color="auto" w:fill="auto"/>
            <w:noWrap/>
            <w:vAlign w:val="center"/>
            <w:hideMark/>
          </w:tcPr>
          <w:p w14:paraId="7A84E80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8.25 </w:t>
            </w:r>
          </w:p>
        </w:tc>
      </w:tr>
    </w:tbl>
    <w:p w14:paraId="50737975" w14:textId="3F270DE3" w:rsidR="0099442F" w:rsidRPr="00C90AAE" w:rsidRDefault="0099442F" w:rsidP="006D2651">
      <w:pPr>
        <w:spacing w:after="0"/>
        <w:ind w:left="717"/>
        <w:rPr>
          <w:rFonts w:ascii="Times New Roman" w:hAnsi="Times New Roman"/>
          <w:sz w:val="2"/>
          <w:szCs w:val="2"/>
        </w:rPr>
      </w:pPr>
    </w:p>
    <w:p w14:paraId="2B9186EA" w14:textId="2A42EA37" w:rsidR="0099442F" w:rsidRDefault="0099442F" w:rsidP="006D2651">
      <w:pPr>
        <w:spacing w:after="0"/>
        <w:ind w:left="717"/>
        <w:rPr>
          <w:rFonts w:ascii="Times New Roman" w:hAnsi="Times New Roman"/>
          <w:sz w:val="20"/>
          <w:szCs w:val="20"/>
        </w:rPr>
      </w:pPr>
    </w:p>
    <w:p w14:paraId="6420080F" w14:textId="779C9CE5" w:rsidR="00C34994" w:rsidRDefault="00C34994" w:rsidP="006D2651">
      <w:pPr>
        <w:spacing w:after="0"/>
        <w:ind w:left="717"/>
        <w:rPr>
          <w:rFonts w:ascii="Times New Roman" w:hAnsi="Times New Roman"/>
          <w:sz w:val="20"/>
          <w:szCs w:val="20"/>
        </w:rPr>
      </w:pPr>
    </w:p>
    <w:p w14:paraId="4E3BE4BE" w14:textId="228789E3" w:rsidR="00C34994" w:rsidRDefault="00C34994" w:rsidP="006D2651">
      <w:pPr>
        <w:spacing w:after="0"/>
        <w:ind w:left="717"/>
        <w:rPr>
          <w:rFonts w:ascii="Times New Roman" w:hAnsi="Times New Roman"/>
          <w:sz w:val="20"/>
          <w:szCs w:val="20"/>
        </w:rPr>
      </w:pPr>
    </w:p>
    <w:p w14:paraId="44C1A122" w14:textId="6202EDC2" w:rsidR="00C34994" w:rsidRDefault="00C34994" w:rsidP="006D2651">
      <w:pPr>
        <w:spacing w:after="0"/>
        <w:ind w:left="717"/>
        <w:rPr>
          <w:rFonts w:ascii="Times New Roman" w:hAnsi="Times New Roman"/>
          <w:sz w:val="20"/>
          <w:szCs w:val="20"/>
        </w:rPr>
      </w:pPr>
    </w:p>
    <w:p w14:paraId="256803BE" w14:textId="557BE53B" w:rsidR="00C34994" w:rsidRDefault="00C34994" w:rsidP="006D2651">
      <w:pPr>
        <w:spacing w:after="0"/>
        <w:ind w:left="717"/>
        <w:rPr>
          <w:rFonts w:ascii="Times New Roman" w:hAnsi="Times New Roman"/>
          <w:sz w:val="20"/>
          <w:szCs w:val="20"/>
        </w:rPr>
      </w:pPr>
    </w:p>
    <w:p w14:paraId="0D15E75F" w14:textId="68FA2199" w:rsidR="00C34994" w:rsidRDefault="00C34994" w:rsidP="006D2651">
      <w:pPr>
        <w:spacing w:after="0"/>
        <w:ind w:left="717"/>
        <w:rPr>
          <w:rFonts w:ascii="Times New Roman" w:hAnsi="Times New Roman"/>
          <w:sz w:val="20"/>
          <w:szCs w:val="20"/>
        </w:rPr>
      </w:pPr>
    </w:p>
    <w:p w14:paraId="5EE7E5B0" w14:textId="549D84C4" w:rsidR="00C34994" w:rsidRDefault="00C34994" w:rsidP="006D2651">
      <w:pPr>
        <w:spacing w:after="0"/>
        <w:ind w:left="717"/>
        <w:rPr>
          <w:rFonts w:ascii="Times New Roman" w:hAnsi="Times New Roman"/>
          <w:sz w:val="20"/>
          <w:szCs w:val="20"/>
        </w:rPr>
      </w:pPr>
    </w:p>
    <w:p w14:paraId="39FB2FBE" w14:textId="7C388AAC" w:rsidR="00C34994" w:rsidRDefault="00C34994" w:rsidP="006D2651">
      <w:pPr>
        <w:spacing w:after="0"/>
        <w:ind w:left="717"/>
        <w:rPr>
          <w:rFonts w:ascii="Times New Roman" w:hAnsi="Times New Roman"/>
          <w:sz w:val="20"/>
          <w:szCs w:val="20"/>
        </w:rPr>
      </w:pPr>
    </w:p>
    <w:p w14:paraId="202CE7CA" w14:textId="53C2C6F6" w:rsidR="00C34994" w:rsidRDefault="00C34994" w:rsidP="006D2651">
      <w:pPr>
        <w:spacing w:after="0"/>
        <w:ind w:left="717"/>
        <w:rPr>
          <w:rFonts w:ascii="Times New Roman" w:hAnsi="Times New Roman"/>
          <w:sz w:val="20"/>
          <w:szCs w:val="20"/>
        </w:rPr>
      </w:pPr>
    </w:p>
    <w:p w14:paraId="7257B251" w14:textId="77777777" w:rsidR="00C34994" w:rsidRPr="006D2651" w:rsidRDefault="00C34994" w:rsidP="006D2651">
      <w:pPr>
        <w:spacing w:after="0"/>
        <w:ind w:left="717"/>
        <w:rPr>
          <w:rFonts w:ascii="Times New Roman" w:hAnsi="Times New Roman"/>
          <w:sz w:val="20"/>
          <w:szCs w:val="20"/>
        </w:rPr>
      </w:pPr>
    </w:p>
    <w:tbl>
      <w:tblPr>
        <w:tblW w:w="10529" w:type="dxa"/>
        <w:tblInd w:w="-572" w:type="dxa"/>
        <w:tblLook w:val="04A0" w:firstRow="1" w:lastRow="0" w:firstColumn="1" w:lastColumn="0" w:noHBand="0" w:noVBand="1"/>
      </w:tblPr>
      <w:tblGrid>
        <w:gridCol w:w="2676"/>
        <w:gridCol w:w="726"/>
        <w:gridCol w:w="607"/>
        <w:gridCol w:w="552"/>
        <w:gridCol w:w="684"/>
        <w:gridCol w:w="709"/>
        <w:gridCol w:w="709"/>
        <w:gridCol w:w="708"/>
        <w:gridCol w:w="709"/>
        <w:gridCol w:w="766"/>
        <w:gridCol w:w="766"/>
        <w:gridCol w:w="917"/>
      </w:tblGrid>
      <w:tr w:rsidR="006D2651" w:rsidRPr="006D2651" w14:paraId="5BFC47FB" w14:textId="77777777" w:rsidTr="00C34994">
        <w:trPr>
          <w:trHeight w:val="300"/>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9D13"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Adjustment</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14:paraId="447ECC13"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4F67DD9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Y2</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5EAC4716"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Y3</w:t>
            </w:r>
          </w:p>
        </w:tc>
        <w:tc>
          <w:tcPr>
            <w:tcW w:w="684" w:type="dxa"/>
            <w:tcBorders>
              <w:top w:val="single" w:sz="4" w:space="0" w:color="auto"/>
              <w:left w:val="nil"/>
              <w:bottom w:val="single" w:sz="4" w:space="0" w:color="auto"/>
              <w:right w:val="single" w:sz="4" w:space="0" w:color="auto"/>
            </w:tcBorders>
            <w:shd w:val="clear" w:color="auto" w:fill="auto"/>
            <w:noWrap/>
            <w:vAlign w:val="bottom"/>
            <w:hideMark/>
          </w:tcPr>
          <w:p w14:paraId="12300C68"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858BD75"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F691CE0"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E85A260"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7B33762"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Y8</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416083C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Y9</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2EABD5E3"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Y10</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11393D95"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 xml:space="preserve">TOTAL </w:t>
            </w:r>
          </w:p>
        </w:tc>
      </w:tr>
      <w:tr w:rsidR="006D2651" w:rsidRPr="006D2651" w14:paraId="5709B486"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786253A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Surplus (Actual Volume &gt;Normative Volume)</w:t>
            </w:r>
          </w:p>
        </w:tc>
        <w:tc>
          <w:tcPr>
            <w:tcW w:w="726" w:type="dxa"/>
            <w:tcBorders>
              <w:top w:val="nil"/>
              <w:left w:val="nil"/>
              <w:bottom w:val="single" w:sz="4" w:space="0" w:color="auto"/>
              <w:right w:val="single" w:sz="4" w:space="0" w:color="auto"/>
            </w:tcBorders>
            <w:shd w:val="clear" w:color="auto" w:fill="auto"/>
            <w:noWrap/>
            <w:vAlign w:val="bottom"/>
            <w:hideMark/>
          </w:tcPr>
          <w:p w14:paraId="6F2F337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07" w:type="dxa"/>
            <w:tcBorders>
              <w:top w:val="nil"/>
              <w:left w:val="nil"/>
              <w:bottom w:val="single" w:sz="4" w:space="0" w:color="auto"/>
              <w:right w:val="single" w:sz="4" w:space="0" w:color="auto"/>
            </w:tcBorders>
            <w:shd w:val="clear" w:color="auto" w:fill="auto"/>
            <w:noWrap/>
            <w:vAlign w:val="bottom"/>
            <w:hideMark/>
          </w:tcPr>
          <w:p w14:paraId="00D605F8"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0.22 </w:t>
            </w:r>
          </w:p>
        </w:tc>
        <w:tc>
          <w:tcPr>
            <w:tcW w:w="552" w:type="dxa"/>
            <w:tcBorders>
              <w:top w:val="nil"/>
              <w:left w:val="nil"/>
              <w:bottom w:val="single" w:sz="4" w:space="0" w:color="auto"/>
              <w:right w:val="single" w:sz="4" w:space="0" w:color="auto"/>
            </w:tcBorders>
            <w:shd w:val="clear" w:color="auto" w:fill="auto"/>
            <w:noWrap/>
            <w:vAlign w:val="bottom"/>
            <w:hideMark/>
          </w:tcPr>
          <w:p w14:paraId="2DAFB55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84" w:type="dxa"/>
            <w:tcBorders>
              <w:top w:val="nil"/>
              <w:left w:val="nil"/>
              <w:bottom w:val="single" w:sz="4" w:space="0" w:color="auto"/>
              <w:right w:val="single" w:sz="4" w:space="0" w:color="auto"/>
            </w:tcBorders>
            <w:shd w:val="clear" w:color="auto" w:fill="auto"/>
            <w:noWrap/>
            <w:vAlign w:val="bottom"/>
            <w:hideMark/>
          </w:tcPr>
          <w:p w14:paraId="48CB9D13"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4655AD2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5FE122E3"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5B04374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4BC89BD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66" w:type="dxa"/>
            <w:tcBorders>
              <w:top w:val="nil"/>
              <w:left w:val="nil"/>
              <w:bottom w:val="single" w:sz="4" w:space="0" w:color="auto"/>
              <w:right w:val="single" w:sz="4" w:space="0" w:color="auto"/>
            </w:tcBorders>
            <w:shd w:val="clear" w:color="auto" w:fill="auto"/>
            <w:noWrap/>
            <w:vAlign w:val="bottom"/>
            <w:hideMark/>
          </w:tcPr>
          <w:p w14:paraId="6A0E8DA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0.10 </w:t>
            </w:r>
          </w:p>
        </w:tc>
        <w:tc>
          <w:tcPr>
            <w:tcW w:w="766" w:type="dxa"/>
            <w:tcBorders>
              <w:top w:val="nil"/>
              <w:left w:val="nil"/>
              <w:bottom w:val="single" w:sz="4" w:space="0" w:color="auto"/>
              <w:right w:val="single" w:sz="4" w:space="0" w:color="auto"/>
            </w:tcBorders>
            <w:shd w:val="clear" w:color="auto" w:fill="auto"/>
            <w:noWrap/>
            <w:vAlign w:val="bottom"/>
            <w:hideMark/>
          </w:tcPr>
          <w:p w14:paraId="4B5CE249"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0.75 </w:t>
            </w:r>
          </w:p>
        </w:tc>
        <w:tc>
          <w:tcPr>
            <w:tcW w:w="917" w:type="dxa"/>
            <w:tcBorders>
              <w:top w:val="nil"/>
              <w:left w:val="nil"/>
              <w:bottom w:val="single" w:sz="4" w:space="0" w:color="auto"/>
              <w:right w:val="single" w:sz="4" w:space="0" w:color="auto"/>
            </w:tcBorders>
            <w:shd w:val="clear" w:color="auto" w:fill="auto"/>
            <w:noWrap/>
            <w:vAlign w:val="bottom"/>
            <w:hideMark/>
          </w:tcPr>
          <w:p w14:paraId="4561E136"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1.07</w:t>
            </w:r>
          </w:p>
        </w:tc>
      </w:tr>
      <w:tr w:rsidR="006D2651" w:rsidRPr="006D2651" w14:paraId="58D97013"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2A5F65B4"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Deficit (Actual Volume &lt;Normative Volume)</w:t>
            </w:r>
          </w:p>
        </w:tc>
        <w:tc>
          <w:tcPr>
            <w:tcW w:w="726" w:type="dxa"/>
            <w:tcBorders>
              <w:top w:val="nil"/>
              <w:left w:val="nil"/>
              <w:bottom w:val="single" w:sz="4" w:space="0" w:color="auto"/>
              <w:right w:val="single" w:sz="4" w:space="0" w:color="auto"/>
            </w:tcBorders>
            <w:shd w:val="clear" w:color="auto" w:fill="auto"/>
            <w:noWrap/>
            <w:vAlign w:val="bottom"/>
            <w:hideMark/>
          </w:tcPr>
          <w:p w14:paraId="28CD68E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 0.25 </w:t>
            </w:r>
          </w:p>
        </w:tc>
        <w:tc>
          <w:tcPr>
            <w:tcW w:w="607" w:type="dxa"/>
            <w:tcBorders>
              <w:top w:val="nil"/>
              <w:left w:val="nil"/>
              <w:bottom w:val="single" w:sz="4" w:space="0" w:color="auto"/>
              <w:right w:val="single" w:sz="4" w:space="0" w:color="auto"/>
            </w:tcBorders>
            <w:shd w:val="clear" w:color="auto" w:fill="auto"/>
            <w:noWrap/>
            <w:vAlign w:val="bottom"/>
            <w:hideMark/>
          </w:tcPr>
          <w:p w14:paraId="6B3D6C4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552" w:type="dxa"/>
            <w:tcBorders>
              <w:top w:val="nil"/>
              <w:left w:val="nil"/>
              <w:bottom w:val="single" w:sz="4" w:space="0" w:color="auto"/>
              <w:right w:val="single" w:sz="4" w:space="0" w:color="auto"/>
            </w:tcBorders>
            <w:shd w:val="clear" w:color="auto" w:fill="auto"/>
            <w:noWrap/>
            <w:vAlign w:val="bottom"/>
            <w:hideMark/>
          </w:tcPr>
          <w:p w14:paraId="2E70F41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p>
        </w:tc>
        <w:tc>
          <w:tcPr>
            <w:tcW w:w="684" w:type="dxa"/>
            <w:tcBorders>
              <w:top w:val="nil"/>
              <w:left w:val="nil"/>
              <w:bottom w:val="single" w:sz="4" w:space="0" w:color="auto"/>
              <w:right w:val="single" w:sz="4" w:space="0" w:color="auto"/>
            </w:tcBorders>
            <w:shd w:val="clear" w:color="auto" w:fill="auto"/>
            <w:noWrap/>
            <w:vAlign w:val="bottom"/>
            <w:hideMark/>
          </w:tcPr>
          <w:p w14:paraId="3E518EB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0.38 </w:t>
            </w:r>
          </w:p>
        </w:tc>
        <w:tc>
          <w:tcPr>
            <w:tcW w:w="709" w:type="dxa"/>
            <w:tcBorders>
              <w:top w:val="nil"/>
              <w:left w:val="nil"/>
              <w:bottom w:val="single" w:sz="4" w:space="0" w:color="auto"/>
              <w:right w:val="single" w:sz="4" w:space="0" w:color="auto"/>
            </w:tcBorders>
            <w:shd w:val="clear" w:color="auto" w:fill="auto"/>
            <w:noWrap/>
            <w:vAlign w:val="bottom"/>
            <w:hideMark/>
          </w:tcPr>
          <w:p w14:paraId="59DDEE2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0.30 </w:t>
            </w:r>
          </w:p>
        </w:tc>
        <w:tc>
          <w:tcPr>
            <w:tcW w:w="709" w:type="dxa"/>
            <w:tcBorders>
              <w:top w:val="nil"/>
              <w:left w:val="nil"/>
              <w:bottom w:val="single" w:sz="4" w:space="0" w:color="auto"/>
              <w:right w:val="single" w:sz="4" w:space="0" w:color="auto"/>
            </w:tcBorders>
            <w:shd w:val="clear" w:color="auto" w:fill="auto"/>
            <w:noWrap/>
            <w:vAlign w:val="bottom"/>
            <w:hideMark/>
          </w:tcPr>
          <w:p w14:paraId="32074EC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08" w:type="dxa"/>
            <w:tcBorders>
              <w:top w:val="nil"/>
              <w:left w:val="nil"/>
              <w:bottom w:val="single" w:sz="4" w:space="0" w:color="auto"/>
              <w:right w:val="single" w:sz="4" w:space="0" w:color="auto"/>
            </w:tcBorders>
            <w:shd w:val="clear" w:color="auto" w:fill="auto"/>
            <w:noWrap/>
            <w:vAlign w:val="bottom"/>
            <w:hideMark/>
          </w:tcPr>
          <w:p w14:paraId="5D65E9A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09" w:type="dxa"/>
            <w:tcBorders>
              <w:top w:val="nil"/>
              <w:left w:val="nil"/>
              <w:bottom w:val="single" w:sz="4" w:space="0" w:color="auto"/>
              <w:right w:val="single" w:sz="4" w:space="0" w:color="auto"/>
            </w:tcBorders>
            <w:shd w:val="clear" w:color="auto" w:fill="auto"/>
            <w:noWrap/>
            <w:vAlign w:val="bottom"/>
            <w:hideMark/>
          </w:tcPr>
          <w:p w14:paraId="29C0AE5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766" w:type="dxa"/>
            <w:tcBorders>
              <w:top w:val="nil"/>
              <w:left w:val="nil"/>
              <w:bottom w:val="single" w:sz="4" w:space="0" w:color="auto"/>
              <w:right w:val="single" w:sz="4" w:space="0" w:color="auto"/>
            </w:tcBorders>
            <w:shd w:val="clear" w:color="auto" w:fill="auto"/>
            <w:noWrap/>
            <w:vAlign w:val="bottom"/>
            <w:hideMark/>
          </w:tcPr>
          <w:p w14:paraId="5FEC115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66" w:type="dxa"/>
            <w:tcBorders>
              <w:top w:val="nil"/>
              <w:left w:val="nil"/>
              <w:bottom w:val="single" w:sz="4" w:space="0" w:color="auto"/>
              <w:right w:val="single" w:sz="4" w:space="0" w:color="auto"/>
            </w:tcBorders>
            <w:shd w:val="clear" w:color="auto" w:fill="auto"/>
            <w:noWrap/>
            <w:vAlign w:val="bottom"/>
            <w:hideMark/>
          </w:tcPr>
          <w:p w14:paraId="7E6163F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17" w:type="dxa"/>
            <w:tcBorders>
              <w:top w:val="nil"/>
              <w:left w:val="nil"/>
              <w:bottom w:val="single" w:sz="4" w:space="0" w:color="auto"/>
              <w:right w:val="single" w:sz="4" w:space="0" w:color="auto"/>
            </w:tcBorders>
            <w:shd w:val="clear" w:color="auto" w:fill="auto"/>
            <w:noWrap/>
            <w:vAlign w:val="bottom"/>
            <w:hideMark/>
          </w:tcPr>
          <w:p w14:paraId="7944A0C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1.28 </w:t>
            </w:r>
          </w:p>
        </w:tc>
      </w:tr>
      <w:tr w:rsidR="006D2651" w:rsidRPr="006D2651" w14:paraId="413AAAB1"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28AD6B23"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Setoff</w:t>
            </w:r>
          </w:p>
        </w:tc>
        <w:tc>
          <w:tcPr>
            <w:tcW w:w="726" w:type="dxa"/>
            <w:tcBorders>
              <w:top w:val="nil"/>
              <w:left w:val="nil"/>
              <w:bottom w:val="single" w:sz="4" w:space="0" w:color="auto"/>
              <w:right w:val="single" w:sz="4" w:space="0" w:color="auto"/>
            </w:tcBorders>
            <w:shd w:val="clear" w:color="auto" w:fill="auto"/>
            <w:noWrap/>
            <w:vAlign w:val="bottom"/>
            <w:hideMark/>
          </w:tcPr>
          <w:p w14:paraId="1FF3D63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607" w:type="dxa"/>
            <w:tcBorders>
              <w:top w:val="nil"/>
              <w:left w:val="nil"/>
              <w:bottom w:val="single" w:sz="4" w:space="0" w:color="auto"/>
              <w:right w:val="single" w:sz="4" w:space="0" w:color="auto"/>
            </w:tcBorders>
            <w:shd w:val="clear" w:color="auto" w:fill="auto"/>
            <w:noWrap/>
            <w:vAlign w:val="bottom"/>
            <w:hideMark/>
          </w:tcPr>
          <w:p w14:paraId="686DADC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552" w:type="dxa"/>
            <w:tcBorders>
              <w:top w:val="nil"/>
              <w:left w:val="nil"/>
              <w:bottom w:val="single" w:sz="4" w:space="0" w:color="auto"/>
              <w:right w:val="single" w:sz="4" w:space="0" w:color="auto"/>
            </w:tcBorders>
            <w:shd w:val="clear" w:color="auto" w:fill="auto"/>
            <w:noWrap/>
            <w:vAlign w:val="bottom"/>
            <w:hideMark/>
          </w:tcPr>
          <w:p w14:paraId="52B1B00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84" w:type="dxa"/>
            <w:tcBorders>
              <w:top w:val="nil"/>
              <w:left w:val="nil"/>
              <w:bottom w:val="single" w:sz="4" w:space="0" w:color="auto"/>
              <w:right w:val="single" w:sz="4" w:space="0" w:color="auto"/>
            </w:tcBorders>
            <w:shd w:val="clear" w:color="auto" w:fill="auto"/>
            <w:noWrap/>
            <w:vAlign w:val="bottom"/>
            <w:hideMark/>
          </w:tcPr>
          <w:p w14:paraId="05BA972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0.38 </w:t>
            </w:r>
          </w:p>
        </w:tc>
        <w:tc>
          <w:tcPr>
            <w:tcW w:w="709" w:type="dxa"/>
            <w:tcBorders>
              <w:top w:val="nil"/>
              <w:left w:val="nil"/>
              <w:bottom w:val="single" w:sz="4" w:space="0" w:color="auto"/>
              <w:right w:val="single" w:sz="4" w:space="0" w:color="auto"/>
            </w:tcBorders>
            <w:shd w:val="clear" w:color="auto" w:fill="auto"/>
            <w:noWrap/>
            <w:vAlign w:val="bottom"/>
            <w:hideMark/>
          </w:tcPr>
          <w:p w14:paraId="62452C6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0.30 </w:t>
            </w:r>
          </w:p>
        </w:tc>
        <w:tc>
          <w:tcPr>
            <w:tcW w:w="709" w:type="dxa"/>
            <w:tcBorders>
              <w:top w:val="nil"/>
              <w:left w:val="nil"/>
              <w:bottom w:val="single" w:sz="4" w:space="0" w:color="auto"/>
              <w:right w:val="single" w:sz="4" w:space="0" w:color="auto"/>
            </w:tcBorders>
            <w:shd w:val="clear" w:color="auto" w:fill="auto"/>
            <w:noWrap/>
            <w:vAlign w:val="bottom"/>
            <w:hideMark/>
          </w:tcPr>
          <w:p w14:paraId="12C61E1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08" w:type="dxa"/>
            <w:tcBorders>
              <w:top w:val="nil"/>
              <w:left w:val="nil"/>
              <w:bottom w:val="single" w:sz="4" w:space="0" w:color="auto"/>
              <w:right w:val="single" w:sz="4" w:space="0" w:color="auto"/>
            </w:tcBorders>
            <w:shd w:val="clear" w:color="auto" w:fill="auto"/>
            <w:noWrap/>
            <w:vAlign w:val="bottom"/>
            <w:hideMark/>
          </w:tcPr>
          <w:p w14:paraId="557D906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09" w:type="dxa"/>
            <w:tcBorders>
              <w:top w:val="nil"/>
              <w:left w:val="nil"/>
              <w:bottom w:val="single" w:sz="4" w:space="0" w:color="auto"/>
              <w:right w:val="single" w:sz="4" w:space="0" w:color="auto"/>
            </w:tcBorders>
            <w:shd w:val="clear" w:color="auto" w:fill="auto"/>
            <w:noWrap/>
            <w:vAlign w:val="bottom"/>
            <w:hideMark/>
          </w:tcPr>
          <w:p w14:paraId="4D18B746"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66" w:type="dxa"/>
            <w:tcBorders>
              <w:top w:val="nil"/>
              <w:left w:val="nil"/>
              <w:bottom w:val="single" w:sz="4" w:space="0" w:color="auto"/>
              <w:right w:val="single" w:sz="4" w:space="0" w:color="auto"/>
            </w:tcBorders>
            <w:shd w:val="clear" w:color="auto" w:fill="auto"/>
            <w:noWrap/>
            <w:vAlign w:val="bottom"/>
            <w:hideMark/>
          </w:tcPr>
          <w:p w14:paraId="483BD0B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66" w:type="dxa"/>
            <w:tcBorders>
              <w:top w:val="nil"/>
              <w:left w:val="nil"/>
              <w:bottom w:val="single" w:sz="4" w:space="0" w:color="auto"/>
              <w:right w:val="single" w:sz="4" w:space="0" w:color="auto"/>
            </w:tcBorders>
            <w:shd w:val="clear" w:color="auto" w:fill="auto"/>
            <w:noWrap/>
            <w:vAlign w:val="bottom"/>
            <w:hideMark/>
          </w:tcPr>
          <w:p w14:paraId="39C21574"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17" w:type="dxa"/>
            <w:tcBorders>
              <w:top w:val="nil"/>
              <w:left w:val="nil"/>
              <w:bottom w:val="single" w:sz="4" w:space="0" w:color="auto"/>
              <w:right w:val="single" w:sz="4" w:space="0" w:color="auto"/>
            </w:tcBorders>
            <w:shd w:val="clear" w:color="auto" w:fill="auto"/>
            <w:noWrap/>
            <w:vAlign w:val="bottom"/>
            <w:hideMark/>
          </w:tcPr>
          <w:p w14:paraId="65BDE658"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1.07</w:t>
            </w:r>
          </w:p>
        </w:tc>
      </w:tr>
    </w:tbl>
    <w:p w14:paraId="2AF00350" w14:textId="4819D887" w:rsidR="006D2651" w:rsidRPr="006D2651" w:rsidRDefault="006D2651" w:rsidP="006D2651">
      <w:pPr>
        <w:spacing w:after="0"/>
        <w:ind w:left="717"/>
        <w:rPr>
          <w:rFonts w:ascii="Times New Roman" w:hAnsi="Times New Roman"/>
          <w:sz w:val="20"/>
          <w:szCs w:val="20"/>
        </w:rPr>
      </w:pPr>
    </w:p>
    <w:tbl>
      <w:tblPr>
        <w:tblW w:w="5670" w:type="pct"/>
        <w:tblInd w:w="-572" w:type="dxa"/>
        <w:tblLayout w:type="fixed"/>
        <w:tblLook w:val="04A0" w:firstRow="1" w:lastRow="0" w:firstColumn="1" w:lastColumn="0" w:noHBand="0" w:noVBand="1"/>
      </w:tblPr>
      <w:tblGrid>
        <w:gridCol w:w="3634"/>
        <w:gridCol w:w="620"/>
        <w:gridCol w:w="621"/>
        <w:gridCol w:w="619"/>
        <w:gridCol w:w="621"/>
        <w:gridCol w:w="621"/>
        <w:gridCol w:w="619"/>
        <w:gridCol w:w="621"/>
        <w:gridCol w:w="619"/>
        <w:gridCol w:w="621"/>
        <w:gridCol w:w="621"/>
        <w:gridCol w:w="766"/>
      </w:tblGrid>
      <w:tr w:rsidR="006D2651" w:rsidRPr="006D2651" w14:paraId="28DAF427" w14:textId="77777777" w:rsidTr="00C34994">
        <w:trPr>
          <w:trHeight w:val="327"/>
        </w:trPr>
        <w:tc>
          <w:tcPr>
            <w:tcW w:w="1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ACDDA"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75A7DDB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Y11</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43F29FAF"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Y12</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4DE4D883"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Y13</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5F52EE8F"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Y14</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0B96BD0B"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Y15</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30DF015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Y16</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76438F9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Y17</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18E79E85"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Y18</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08B91D13"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Y19</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409D23B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Y20</w:t>
            </w:r>
          </w:p>
        </w:tc>
        <w:tc>
          <w:tcPr>
            <w:tcW w:w="362" w:type="pct"/>
            <w:tcBorders>
              <w:top w:val="single" w:sz="4" w:space="0" w:color="auto"/>
              <w:left w:val="nil"/>
              <w:bottom w:val="single" w:sz="4" w:space="0" w:color="auto"/>
              <w:right w:val="single" w:sz="4" w:space="0" w:color="auto"/>
            </w:tcBorders>
            <w:shd w:val="clear" w:color="auto" w:fill="auto"/>
            <w:noWrap/>
            <w:vAlign w:val="center"/>
            <w:hideMark/>
          </w:tcPr>
          <w:p w14:paraId="676F0335"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Total</w:t>
            </w:r>
          </w:p>
        </w:tc>
      </w:tr>
      <w:tr w:rsidR="006D2651" w:rsidRPr="006D2651" w14:paraId="1D4BE642" w14:textId="77777777" w:rsidTr="00C34994">
        <w:trPr>
          <w:trHeight w:val="327"/>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72D54538"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292" w:type="pct"/>
            <w:tcBorders>
              <w:top w:val="nil"/>
              <w:left w:val="nil"/>
              <w:bottom w:val="single" w:sz="4" w:space="0" w:color="auto"/>
              <w:right w:val="single" w:sz="4" w:space="0" w:color="auto"/>
            </w:tcBorders>
            <w:shd w:val="clear" w:color="auto" w:fill="auto"/>
            <w:noWrap/>
            <w:vAlign w:val="center"/>
            <w:hideMark/>
          </w:tcPr>
          <w:p w14:paraId="7ACD795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37B5E71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2" w:type="pct"/>
            <w:tcBorders>
              <w:top w:val="nil"/>
              <w:left w:val="nil"/>
              <w:bottom w:val="single" w:sz="4" w:space="0" w:color="auto"/>
              <w:right w:val="single" w:sz="4" w:space="0" w:color="auto"/>
            </w:tcBorders>
            <w:shd w:val="clear" w:color="auto" w:fill="auto"/>
            <w:noWrap/>
            <w:vAlign w:val="center"/>
            <w:hideMark/>
          </w:tcPr>
          <w:p w14:paraId="586F0C0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372D955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6AC68C1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2" w:type="pct"/>
            <w:tcBorders>
              <w:top w:val="nil"/>
              <w:left w:val="nil"/>
              <w:bottom w:val="single" w:sz="4" w:space="0" w:color="auto"/>
              <w:right w:val="single" w:sz="4" w:space="0" w:color="auto"/>
            </w:tcBorders>
            <w:shd w:val="clear" w:color="auto" w:fill="auto"/>
            <w:noWrap/>
            <w:vAlign w:val="center"/>
            <w:hideMark/>
          </w:tcPr>
          <w:p w14:paraId="5DF9EAC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57B0E7F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2" w:type="pct"/>
            <w:tcBorders>
              <w:top w:val="nil"/>
              <w:left w:val="nil"/>
              <w:bottom w:val="single" w:sz="4" w:space="0" w:color="auto"/>
              <w:right w:val="single" w:sz="4" w:space="0" w:color="auto"/>
            </w:tcBorders>
            <w:shd w:val="clear" w:color="auto" w:fill="auto"/>
            <w:noWrap/>
            <w:vAlign w:val="center"/>
            <w:hideMark/>
          </w:tcPr>
          <w:p w14:paraId="38C03C2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41D1B32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3" w:type="pct"/>
            <w:tcBorders>
              <w:top w:val="nil"/>
              <w:left w:val="nil"/>
              <w:bottom w:val="single" w:sz="4" w:space="0" w:color="auto"/>
              <w:right w:val="single" w:sz="4" w:space="0" w:color="auto"/>
            </w:tcBorders>
            <w:shd w:val="clear" w:color="auto" w:fill="auto"/>
            <w:noWrap/>
            <w:vAlign w:val="center"/>
            <w:hideMark/>
          </w:tcPr>
          <w:p w14:paraId="24D30EC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362" w:type="pct"/>
            <w:tcBorders>
              <w:top w:val="nil"/>
              <w:left w:val="nil"/>
              <w:bottom w:val="single" w:sz="4" w:space="0" w:color="auto"/>
              <w:right w:val="single" w:sz="4" w:space="0" w:color="auto"/>
            </w:tcBorders>
            <w:shd w:val="clear" w:color="auto" w:fill="auto"/>
            <w:noWrap/>
            <w:vAlign w:val="center"/>
            <w:hideMark/>
          </w:tcPr>
          <w:p w14:paraId="4FEB9F52"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35CDEA55" w14:textId="77777777" w:rsidTr="00C34994">
        <w:trPr>
          <w:trHeight w:val="327"/>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03CD20D0"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292" w:type="pct"/>
            <w:tcBorders>
              <w:top w:val="nil"/>
              <w:left w:val="nil"/>
              <w:bottom w:val="single" w:sz="4" w:space="0" w:color="auto"/>
              <w:right w:val="single" w:sz="4" w:space="0" w:color="auto"/>
            </w:tcBorders>
            <w:shd w:val="clear" w:color="auto" w:fill="auto"/>
            <w:noWrap/>
            <w:vAlign w:val="center"/>
            <w:hideMark/>
          </w:tcPr>
          <w:p w14:paraId="6F706CD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470BF3B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2" w:type="pct"/>
            <w:tcBorders>
              <w:top w:val="nil"/>
              <w:left w:val="nil"/>
              <w:bottom w:val="single" w:sz="4" w:space="0" w:color="auto"/>
              <w:right w:val="single" w:sz="4" w:space="0" w:color="auto"/>
            </w:tcBorders>
            <w:shd w:val="clear" w:color="auto" w:fill="auto"/>
            <w:noWrap/>
            <w:vAlign w:val="center"/>
            <w:hideMark/>
          </w:tcPr>
          <w:p w14:paraId="30922A5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727045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5823071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2" w:type="pct"/>
            <w:tcBorders>
              <w:top w:val="nil"/>
              <w:left w:val="nil"/>
              <w:bottom w:val="single" w:sz="4" w:space="0" w:color="auto"/>
              <w:right w:val="single" w:sz="4" w:space="0" w:color="auto"/>
            </w:tcBorders>
            <w:shd w:val="clear" w:color="auto" w:fill="auto"/>
            <w:noWrap/>
            <w:vAlign w:val="center"/>
            <w:hideMark/>
          </w:tcPr>
          <w:p w14:paraId="52D3B74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1F2AE1E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2" w:type="pct"/>
            <w:tcBorders>
              <w:top w:val="nil"/>
              <w:left w:val="nil"/>
              <w:bottom w:val="single" w:sz="4" w:space="0" w:color="auto"/>
              <w:right w:val="single" w:sz="4" w:space="0" w:color="auto"/>
            </w:tcBorders>
            <w:shd w:val="clear" w:color="auto" w:fill="auto"/>
            <w:noWrap/>
            <w:vAlign w:val="center"/>
            <w:hideMark/>
          </w:tcPr>
          <w:p w14:paraId="4B2A37B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2DA8093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93" w:type="pct"/>
            <w:tcBorders>
              <w:top w:val="nil"/>
              <w:left w:val="nil"/>
              <w:bottom w:val="single" w:sz="4" w:space="0" w:color="auto"/>
              <w:right w:val="single" w:sz="4" w:space="0" w:color="auto"/>
            </w:tcBorders>
            <w:shd w:val="clear" w:color="auto" w:fill="auto"/>
            <w:noWrap/>
            <w:vAlign w:val="center"/>
            <w:hideMark/>
          </w:tcPr>
          <w:p w14:paraId="2275B95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hideMark/>
          </w:tcPr>
          <w:p w14:paraId="19539027"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3CC1FE0C" w14:textId="77777777" w:rsidTr="00C34994">
        <w:trPr>
          <w:trHeight w:val="327"/>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7A38144"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292" w:type="pct"/>
            <w:tcBorders>
              <w:top w:val="nil"/>
              <w:left w:val="nil"/>
              <w:bottom w:val="single" w:sz="4" w:space="0" w:color="auto"/>
              <w:right w:val="single" w:sz="4" w:space="0" w:color="auto"/>
            </w:tcBorders>
            <w:shd w:val="clear" w:color="auto" w:fill="auto"/>
            <w:noWrap/>
            <w:vAlign w:val="center"/>
            <w:hideMark/>
          </w:tcPr>
          <w:p w14:paraId="16A2E4F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0237D59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3308E7B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77AEB26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03FFC0A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058DFA2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32C30C0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7FB047A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28BA6C0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12CDFFA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62" w:type="pct"/>
            <w:tcBorders>
              <w:top w:val="nil"/>
              <w:left w:val="nil"/>
              <w:bottom w:val="single" w:sz="4" w:space="0" w:color="auto"/>
              <w:right w:val="single" w:sz="4" w:space="0" w:color="auto"/>
            </w:tcBorders>
            <w:shd w:val="clear" w:color="auto" w:fill="auto"/>
            <w:noWrap/>
            <w:vAlign w:val="center"/>
            <w:hideMark/>
          </w:tcPr>
          <w:p w14:paraId="03D5D11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r>
      <w:tr w:rsidR="006D2651" w:rsidRPr="006D2651" w14:paraId="0310A4BA" w14:textId="77777777" w:rsidTr="00C34994">
        <w:trPr>
          <w:trHeight w:val="327"/>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793BE4C7"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volumes(MMTPA)</w:t>
            </w:r>
          </w:p>
        </w:tc>
        <w:tc>
          <w:tcPr>
            <w:tcW w:w="292" w:type="pct"/>
            <w:tcBorders>
              <w:top w:val="nil"/>
              <w:left w:val="nil"/>
              <w:bottom w:val="single" w:sz="4" w:space="0" w:color="auto"/>
              <w:right w:val="single" w:sz="4" w:space="0" w:color="auto"/>
            </w:tcBorders>
            <w:shd w:val="clear" w:color="auto" w:fill="auto"/>
            <w:noWrap/>
            <w:vAlign w:val="center"/>
            <w:hideMark/>
          </w:tcPr>
          <w:p w14:paraId="09C49F0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5714B4D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2" w:type="pct"/>
            <w:tcBorders>
              <w:top w:val="nil"/>
              <w:left w:val="nil"/>
              <w:bottom w:val="single" w:sz="4" w:space="0" w:color="auto"/>
              <w:right w:val="single" w:sz="4" w:space="0" w:color="auto"/>
            </w:tcBorders>
            <w:shd w:val="clear" w:color="auto" w:fill="auto"/>
            <w:noWrap/>
            <w:vAlign w:val="center"/>
            <w:hideMark/>
          </w:tcPr>
          <w:p w14:paraId="50698C6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7C3BC9B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1CB584B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2" w:type="pct"/>
            <w:tcBorders>
              <w:top w:val="nil"/>
              <w:left w:val="nil"/>
              <w:bottom w:val="single" w:sz="4" w:space="0" w:color="auto"/>
              <w:right w:val="single" w:sz="4" w:space="0" w:color="auto"/>
            </w:tcBorders>
            <w:shd w:val="clear" w:color="auto" w:fill="auto"/>
            <w:noWrap/>
            <w:vAlign w:val="center"/>
            <w:hideMark/>
          </w:tcPr>
          <w:p w14:paraId="7AB0114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4F94AE1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2" w:type="pct"/>
            <w:tcBorders>
              <w:top w:val="nil"/>
              <w:left w:val="nil"/>
              <w:bottom w:val="single" w:sz="4" w:space="0" w:color="auto"/>
              <w:right w:val="single" w:sz="4" w:space="0" w:color="auto"/>
            </w:tcBorders>
            <w:shd w:val="clear" w:color="auto" w:fill="auto"/>
            <w:noWrap/>
            <w:vAlign w:val="center"/>
            <w:hideMark/>
          </w:tcPr>
          <w:p w14:paraId="15E83AD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09254B2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93" w:type="pct"/>
            <w:tcBorders>
              <w:top w:val="nil"/>
              <w:left w:val="nil"/>
              <w:bottom w:val="single" w:sz="4" w:space="0" w:color="auto"/>
              <w:right w:val="single" w:sz="4" w:space="0" w:color="auto"/>
            </w:tcBorders>
            <w:shd w:val="clear" w:color="auto" w:fill="auto"/>
            <w:noWrap/>
            <w:vAlign w:val="center"/>
            <w:hideMark/>
          </w:tcPr>
          <w:p w14:paraId="76C1E2B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362" w:type="pct"/>
            <w:tcBorders>
              <w:top w:val="nil"/>
              <w:left w:val="nil"/>
              <w:bottom w:val="single" w:sz="4" w:space="0" w:color="auto"/>
              <w:right w:val="single" w:sz="4" w:space="0" w:color="auto"/>
            </w:tcBorders>
            <w:shd w:val="clear" w:color="auto" w:fill="auto"/>
            <w:noWrap/>
            <w:vAlign w:val="center"/>
            <w:hideMark/>
          </w:tcPr>
          <w:p w14:paraId="0723CA32"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2129C9F9" w14:textId="77777777" w:rsidTr="00C34994">
        <w:trPr>
          <w:trHeight w:val="327"/>
        </w:trPr>
        <w:tc>
          <w:tcPr>
            <w:tcW w:w="1713" w:type="pct"/>
            <w:tcBorders>
              <w:top w:val="nil"/>
              <w:left w:val="single" w:sz="4" w:space="0" w:color="auto"/>
              <w:bottom w:val="single" w:sz="4" w:space="0" w:color="auto"/>
              <w:right w:val="single" w:sz="4" w:space="0" w:color="auto"/>
            </w:tcBorders>
            <w:shd w:val="clear" w:color="auto" w:fill="auto"/>
            <w:noWrap/>
            <w:vAlign w:val="center"/>
            <w:hideMark/>
          </w:tcPr>
          <w:p w14:paraId="308C2EC4"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adjustment(MMTPA)</w:t>
            </w:r>
          </w:p>
        </w:tc>
        <w:tc>
          <w:tcPr>
            <w:tcW w:w="292" w:type="pct"/>
            <w:tcBorders>
              <w:top w:val="nil"/>
              <w:left w:val="nil"/>
              <w:bottom w:val="single" w:sz="4" w:space="0" w:color="auto"/>
              <w:right w:val="single" w:sz="4" w:space="0" w:color="auto"/>
            </w:tcBorders>
            <w:shd w:val="clear" w:color="auto" w:fill="auto"/>
            <w:noWrap/>
            <w:vAlign w:val="center"/>
            <w:hideMark/>
          </w:tcPr>
          <w:p w14:paraId="0CEADBB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28FBC30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5D761C0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171DA6F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679A04B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1AB42E9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0D6CE4C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2" w:type="pct"/>
            <w:tcBorders>
              <w:top w:val="nil"/>
              <w:left w:val="nil"/>
              <w:bottom w:val="single" w:sz="4" w:space="0" w:color="auto"/>
              <w:right w:val="single" w:sz="4" w:space="0" w:color="auto"/>
            </w:tcBorders>
            <w:shd w:val="clear" w:color="auto" w:fill="auto"/>
            <w:noWrap/>
            <w:vAlign w:val="center"/>
            <w:hideMark/>
          </w:tcPr>
          <w:p w14:paraId="2590579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2D7C29E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93" w:type="pct"/>
            <w:tcBorders>
              <w:top w:val="nil"/>
              <w:left w:val="nil"/>
              <w:bottom w:val="single" w:sz="4" w:space="0" w:color="auto"/>
              <w:right w:val="single" w:sz="4" w:space="0" w:color="auto"/>
            </w:tcBorders>
            <w:shd w:val="clear" w:color="auto" w:fill="auto"/>
            <w:noWrap/>
            <w:vAlign w:val="center"/>
            <w:hideMark/>
          </w:tcPr>
          <w:p w14:paraId="0F60165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362" w:type="pct"/>
            <w:tcBorders>
              <w:top w:val="nil"/>
              <w:left w:val="nil"/>
              <w:bottom w:val="single" w:sz="4" w:space="0" w:color="auto"/>
              <w:right w:val="single" w:sz="4" w:space="0" w:color="auto"/>
            </w:tcBorders>
            <w:shd w:val="clear" w:color="auto" w:fill="auto"/>
            <w:noWrap/>
            <w:vAlign w:val="center"/>
            <w:hideMark/>
          </w:tcPr>
          <w:p w14:paraId="744549B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r>
    </w:tbl>
    <w:p w14:paraId="5B361CDD" w14:textId="77777777" w:rsidR="006D2651" w:rsidRPr="0099442F" w:rsidRDefault="006D2651" w:rsidP="006D2651">
      <w:pPr>
        <w:spacing w:after="160"/>
        <w:ind w:left="717"/>
        <w:rPr>
          <w:rFonts w:ascii="Times New Roman" w:hAnsi="Times New Roman"/>
          <w:sz w:val="2"/>
          <w:szCs w:val="2"/>
        </w:rPr>
      </w:pPr>
    </w:p>
    <w:p w14:paraId="51854797" w14:textId="55A12B70" w:rsidR="006D2651" w:rsidRPr="0099442F" w:rsidRDefault="006D2651" w:rsidP="006D2651">
      <w:pPr>
        <w:pStyle w:val="ListParagraph"/>
        <w:numPr>
          <w:ilvl w:val="0"/>
          <w:numId w:val="21"/>
        </w:numPr>
        <w:spacing w:after="0"/>
        <w:rPr>
          <w:rFonts w:ascii="Times New Roman" w:hAnsi="Times New Roman"/>
          <w:sz w:val="20"/>
          <w:szCs w:val="20"/>
        </w:rPr>
      </w:pPr>
      <w:r w:rsidRPr="006D2651">
        <w:rPr>
          <w:rFonts w:ascii="Times New Roman" w:hAnsi="Times New Roman"/>
          <w:sz w:val="20"/>
          <w:szCs w:val="20"/>
        </w:rPr>
        <w:t>Volume adjustment and volume after 15 years of inception</w:t>
      </w:r>
    </w:p>
    <w:p w14:paraId="1DB79280" w14:textId="77777777" w:rsidR="006D2651" w:rsidRPr="006D2651" w:rsidRDefault="006D2651" w:rsidP="006D2651">
      <w:pPr>
        <w:pStyle w:val="ListParagraph"/>
        <w:spacing w:after="0"/>
        <w:ind w:left="717"/>
        <w:rPr>
          <w:rFonts w:ascii="Times New Roman" w:hAnsi="Times New Roman"/>
          <w:sz w:val="20"/>
          <w:szCs w:val="20"/>
        </w:rPr>
      </w:pPr>
    </w:p>
    <w:tbl>
      <w:tblPr>
        <w:tblW w:w="5306" w:type="pct"/>
        <w:tblInd w:w="-572" w:type="dxa"/>
        <w:tblLayout w:type="fixed"/>
        <w:tblLook w:val="04A0" w:firstRow="1" w:lastRow="0" w:firstColumn="1" w:lastColumn="0" w:noHBand="0" w:noVBand="1"/>
      </w:tblPr>
      <w:tblGrid>
        <w:gridCol w:w="4174"/>
        <w:gridCol w:w="578"/>
        <w:gridCol w:w="578"/>
        <w:gridCol w:w="578"/>
        <w:gridCol w:w="572"/>
        <w:gridCol w:w="572"/>
        <w:gridCol w:w="573"/>
        <w:gridCol w:w="577"/>
        <w:gridCol w:w="577"/>
        <w:gridCol w:w="577"/>
        <w:gridCol w:w="566"/>
      </w:tblGrid>
      <w:tr w:rsidR="006D2651" w:rsidRPr="006D2651" w14:paraId="71181156" w14:textId="77777777" w:rsidTr="00C34994">
        <w:trPr>
          <w:trHeight w:val="305"/>
        </w:trPr>
        <w:tc>
          <w:tcPr>
            <w:tcW w:w="2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50A71"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Year</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537E7634"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35898AF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78A5436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Y3</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7716C0AB"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Y4</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3EEA57A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Y5</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3F30B0E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Y6</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49FF5998"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Y7</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641D079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Y8</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14:paraId="48B910D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Y9</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7EC89C10"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Y10</w:t>
            </w:r>
          </w:p>
        </w:tc>
      </w:tr>
      <w:tr w:rsidR="006D2651" w:rsidRPr="006D2651" w14:paraId="5DF94C37" w14:textId="77777777" w:rsidTr="00C34994">
        <w:trPr>
          <w:trHeight w:val="392"/>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35E1670"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291" w:type="pct"/>
            <w:tcBorders>
              <w:top w:val="nil"/>
              <w:left w:val="nil"/>
              <w:bottom w:val="single" w:sz="4" w:space="0" w:color="auto"/>
              <w:right w:val="single" w:sz="4" w:space="0" w:color="auto"/>
            </w:tcBorders>
            <w:shd w:val="clear" w:color="auto" w:fill="auto"/>
            <w:noWrap/>
            <w:vAlign w:val="center"/>
            <w:hideMark/>
          </w:tcPr>
          <w:p w14:paraId="0B8FACD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1" w:type="pct"/>
            <w:tcBorders>
              <w:top w:val="nil"/>
              <w:left w:val="nil"/>
              <w:bottom w:val="single" w:sz="4" w:space="0" w:color="auto"/>
              <w:right w:val="single" w:sz="4" w:space="0" w:color="auto"/>
            </w:tcBorders>
            <w:shd w:val="clear" w:color="auto" w:fill="auto"/>
            <w:noWrap/>
            <w:vAlign w:val="center"/>
            <w:hideMark/>
          </w:tcPr>
          <w:p w14:paraId="21E5978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1" w:type="pct"/>
            <w:tcBorders>
              <w:top w:val="nil"/>
              <w:left w:val="nil"/>
              <w:bottom w:val="single" w:sz="4" w:space="0" w:color="auto"/>
              <w:right w:val="single" w:sz="4" w:space="0" w:color="auto"/>
            </w:tcBorders>
            <w:shd w:val="clear" w:color="auto" w:fill="auto"/>
            <w:noWrap/>
            <w:vAlign w:val="center"/>
            <w:hideMark/>
          </w:tcPr>
          <w:p w14:paraId="7FF217E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8" w:type="pct"/>
            <w:tcBorders>
              <w:top w:val="nil"/>
              <w:left w:val="nil"/>
              <w:bottom w:val="single" w:sz="4" w:space="0" w:color="auto"/>
              <w:right w:val="single" w:sz="4" w:space="0" w:color="auto"/>
            </w:tcBorders>
            <w:shd w:val="clear" w:color="auto" w:fill="auto"/>
            <w:noWrap/>
            <w:vAlign w:val="center"/>
            <w:hideMark/>
          </w:tcPr>
          <w:p w14:paraId="058D377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8" w:type="pct"/>
            <w:tcBorders>
              <w:top w:val="nil"/>
              <w:left w:val="nil"/>
              <w:bottom w:val="single" w:sz="4" w:space="0" w:color="auto"/>
              <w:right w:val="single" w:sz="4" w:space="0" w:color="auto"/>
            </w:tcBorders>
            <w:shd w:val="clear" w:color="auto" w:fill="auto"/>
            <w:noWrap/>
            <w:vAlign w:val="center"/>
            <w:hideMark/>
          </w:tcPr>
          <w:p w14:paraId="1596A66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9" w:type="pct"/>
            <w:tcBorders>
              <w:top w:val="nil"/>
              <w:left w:val="nil"/>
              <w:bottom w:val="single" w:sz="4" w:space="0" w:color="auto"/>
              <w:right w:val="single" w:sz="4" w:space="0" w:color="auto"/>
            </w:tcBorders>
            <w:shd w:val="clear" w:color="auto" w:fill="auto"/>
            <w:noWrap/>
            <w:vAlign w:val="center"/>
            <w:hideMark/>
          </w:tcPr>
          <w:p w14:paraId="4F7B92A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1" w:type="pct"/>
            <w:tcBorders>
              <w:top w:val="nil"/>
              <w:left w:val="nil"/>
              <w:bottom w:val="single" w:sz="4" w:space="0" w:color="auto"/>
              <w:right w:val="single" w:sz="4" w:space="0" w:color="auto"/>
            </w:tcBorders>
            <w:shd w:val="clear" w:color="auto" w:fill="auto"/>
            <w:noWrap/>
            <w:vAlign w:val="center"/>
            <w:hideMark/>
          </w:tcPr>
          <w:p w14:paraId="52B57EC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1" w:type="pct"/>
            <w:tcBorders>
              <w:top w:val="nil"/>
              <w:left w:val="nil"/>
              <w:bottom w:val="single" w:sz="4" w:space="0" w:color="auto"/>
              <w:right w:val="single" w:sz="4" w:space="0" w:color="auto"/>
            </w:tcBorders>
            <w:shd w:val="clear" w:color="auto" w:fill="auto"/>
            <w:noWrap/>
            <w:vAlign w:val="center"/>
            <w:hideMark/>
          </w:tcPr>
          <w:p w14:paraId="17CCC8D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91" w:type="pct"/>
            <w:tcBorders>
              <w:top w:val="nil"/>
              <w:left w:val="nil"/>
              <w:bottom w:val="single" w:sz="4" w:space="0" w:color="auto"/>
              <w:right w:val="single" w:sz="4" w:space="0" w:color="auto"/>
            </w:tcBorders>
            <w:shd w:val="clear" w:color="auto" w:fill="auto"/>
            <w:noWrap/>
            <w:vAlign w:val="center"/>
            <w:hideMark/>
          </w:tcPr>
          <w:p w14:paraId="2642D82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5" w:type="pct"/>
            <w:tcBorders>
              <w:top w:val="nil"/>
              <w:left w:val="nil"/>
              <w:bottom w:val="single" w:sz="4" w:space="0" w:color="auto"/>
              <w:right w:val="single" w:sz="4" w:space="0" w:color="auto"/>
            </w:tcBorders>
            <w:shd w:val="clear" w:color="auto" w:fill="auto"/>
            <w:noWrap/>
            <w:vAlign w:val="center"/>
            <w:hideMark/>
          </w:tcPr>
          <w:p w14:paraId="6D6BDC8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r>
      <w:tr w:rsidR="006D2651" w:rsidRPr="006D2651" w14:paraId="73B06955" w14:textId="77777777" w:rsidTr="00C34994">
        <w:trPr>
          <w:trHeight w:val="392"/>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FEDB3F8"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291" w:type="pct"/>
            <w:tcBorders>
              <w:top w:val="nil"/>
              <w:left w:val="nil"/>
              <w:bottom w:val="single" w:sz="4" w:space="0" w:color="auto"/>
              <w:right w:val="single" w:sz="4" w:space="0" w:color="auto"/>
            </w:tcBorders>
            <w:shd w:val="clear" w:color="auto" w:fill="auto"/>
            <w:noWrap/>
            <w:vAlign w:val="center"/>
            <w:hideMark/>
          </w:tcPr>
          <w:p w14:paraId="1D1E10B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w:t>
            </w:r>
          </w:p>
        </w:tc>
        <w:tc>
          <w:tcPr>
            <w:tcW w:w="291" w:type="pct"/>
            <w:tcBorders>
              <w:top w:val="nil"/>
              <w:left w:val="nil"/>
              <w:bottom w:val="single" w:sz="4" w:space="0" w:color="auto"/>
              <w:right w:val="single" w:sz="4" w:space="0" w:color="auto"/>
            </w:tcBorders>
            <w:shd w:val="clear" w:color="auto" w:fill="auto"/>
            <w:noWrap/>
            <w:vAlign w:val="center"/>
            <w:hideMark/>
          </w:tcPr>
          <w:p w14:paraId="25739A8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35</w:t>
            </w:r>
          </w:p>
        </w:tc>
        <w:tc>
          <w:tcPr>
            <w:tcW w:w="291" w:type="pct"/>
            <w:tcBorders>
              <w:top w:val="nil"/>
              <w:left w:val="nil"/>
              <w:bottom w:val="single" w:sz="4" w:space="0" w:color="auto"/>
              <w:right w:val="single" w:sz="4" w:space="0" w:color="auto"/>
            </w:tcBorders>
            <w:shd w:val="clear" w:color="auto" w:fill="auto"/>
            <w:noWrap/>
            <w:vAlign w:val="center"/>
            <w:hideMark/>
          </w:tcPr>
          <w:p w14:paraId="5EFC6F1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40</w:t>
            </w:r>
          </w:p>
        </w:tc>
        <w:tc>
          <w:tcPr>
            <w:tcW w:w="288" w:type="pct"/>
            <w:tcBorders>
              <w:top w:val="nil"/>
              <w:left w:val="nil"/>
              <w:bottom w:val="single" w:sz="4" w:space="0" w:color="auto"/>
              <w:right w:val="single" w:sz="4" w:space="0" w:color="auto"/>
            </w:tcBorders>
            <w:shd w:val="clear" w:color="auto" w:fill="auto"/>
            <w:noWrap/>
            <w:vAlign w:val="center"/>
            <w:hideMark/>
          </w:tcPr>
          <w:p w14:paraId="153F49E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w:t>
            </w:r>
          </w:p>
        </w:tc>
        <w:tc>
          <w:tcPr>
            <w:tcW w:w="288" w:type="pct"/>
            <w:tcBorders>
              <w:top w:val="nil"/>
              <w:left w:val="nil"/>
              <w:bottom w:val="single" w:sz="4" w:space="0" w:color="auto"/>
              <w:right w:val="single" w:sz="4" w:space="0" w:color="auto"/>
            </w:tcBorders>
            <w:shd w:val="clear" w:color="auto" w:fill="auto"/>
            <w:noWrap/>
            <w:vAlign w:val="center"/>
            <w:hideMark/>
          </w:tcPr>
          <w:p w14:paraId="38022C3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50</w:t>
            </w:r>
          </w:p>
        </w:tc>
        <w:tc>
          <w:tcPr>
            <w:tcW w:w="289" w:type="pct"/>
            <w:tcBorders>
              <w:top w:val="nil"/>
              <w:left w:val="nil"/>
              <w:bottom w:val="single" w:sz="4" w:space="0" w:color="auto"/>
              <w:right w:val="single" w:sz="4" w:space="0" w:color="auto"/>
            </w:tcBorders>
            <w:shd w:val="clear" w:color="auto" w:fill="auto"/>
            <w:noWrap/>
            <w:vAlign w:val="center"/>
            <w:hideMark/>
          </w:tcPr>
          <w:p w14:paraId="4667B81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w:t>
            </w:r>
          </w:p>
        </w:tc>
        <w:tc>
          <w:tcPr>
            <w:tcW w:w="291" w:type="pct"/>
            <w:tcBorders>
              <w:top w:val="nil"/>
              <w:left w:val="nil"/>
              <w:bottom w:val="single" w:sz="4" w:space="0" w:color="auto"/>
              <w:right w:val="single" w:sz="4" w:space="0" w:color="auto"/>
            </w:tcBorders>
            <w:shd w:val="clear" w:color="auto" w:fill="auto"/>
            <w:noWrap/>
            <w:vAlign w:val="center"/>
            <w:hideMark/>
          </w:tcPr>
          <w:p w14:paraId="140D157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70</w:t>
            </w:r>
          </w:p>
        </w:tc>
        <w:tc>
          <w:tcPr>
            <w:tcW w:w="291" w:type="pct"/>
            <w:tcBorders>
              <w:top w:val="nil"/>
              <w:left w:val="nil"/>
              <w:bottom w:val="single" w:sz="4" w:space="0" w:color="auto"/>
              <w:right w:val="single" w:sz="4" w:space="0" w:color="auto"/>
            </w:tcBorders>
            <w:shd w:val="clear" w:color="auto" w:fill="auto"/>
            <w:noWrap/>
            <w:vAlign w:val="center"/>
            <w:hideMark/>
          </w:tcPr>
          <w:p w14:paraId="54FDD71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80</w:t>
            </w:r>
          </w:p>
        </w:tc>
        <w:tc>
          <w:tcPr>
            <w:tcW w:w="291" w:type="pct"/>
            <w:tcBorders>
              <w:top w:val="nil"/>
              <w:left w:val="nil"/>
              <w:bottom w:val="single" w:sz="4" w:space="0" w:color="auto"/>
              <w:right w:val="single" w:sz="4" w:space="0" w:color="auto"/>
            </w:tcBorders>
            <w:shd w:val="clear" w:color="auto" w:fill="auto"/>
            <w:noWrap/>
            <w:vAlign w:val="center"/>
            <w:hideMark/>
          </w:tcPr>
          <w:p w14:paraId="29316B2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w:t>
            </w:r>
          </w:p>
        </w:tc>
        <w:tc>
          <w:tcPr>
            <w:tcW w:w="285" w:type="pct"/>
            <w:tcBorders>
              <w:top w:val="nil"/>
              <w:left w:val="nil"/>
              <w:bottom w:val="single" w:sz="4" w:space="0" w:color="auto"/>
              <w:right w:val="single" w:sz="4" w:space="0" w:color="auto"/>
            </w:tcBorders>
            <w:shd w:val="clear" w:color="auto" w:fill="auto"/>
            <w:noWrap/>
            <w:vAlign w:val="center"/>
            <w:hideMark/>
          </w:tcPr>
          <w:p w14:paraId="67E913F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r>
      <w:tr w:rsidR="006D2651" w:rsidRPr="006D2651" w14:paraId="41BC894B" w14:textId="77777777" w:rsidTr="00C34994">
        <w:trPr>
          <w:trHeight w:val="392"/>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51C5EA53"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291" w:type="pct"/>
            <w:tcBorders>
              <w:top w:val="nil"/>
              <w:left w:val="nil"/>
              <w:bottom w:val="single" w:sz="4" w:space="0" w:color="auto"/>
              <w:right w:val="single" w:sz="4" w:space="0" w:color="auto"/>
            </w:tcBorders>
            <w:shd w:val="clear" w:color="auto" w:fill="auto"/>
            <w:noWrap/>
            <w:vAlign w:val="center"/>
            <w:hideMark/>
          </w:tcPr>
          <w:p w14:paraId="30BB432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2.25</w:t>
            </w:r>
          </w:p>
        </w:tc>
        <w:tc>
          <w:tcPr>
            <w:tcW w:w="291" w:type="pct"/>
            <w:tcBorders>
              <w:top w:val="nil"/>
              <w:left w:val="nil"/>
              <w:bottom w:val="single" w:sz="4" w:space="0" w:color="auto"/>
              <w:right w:val="single" w:sz="4" w:space="0" w:color="auto"/>
            </w:tcBorders>
            <w:shd w:val="clear" w:color="auto" w:fill="auto"/>
            <w:noWrap/>
            <w:vAlign w:val="center"/>
            <w:hideMark/>
          </w:tcPr>
          <w:p w14:paraId="1B0BF03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2.63</w:t>
            </w:r>
          </w:p>
        </w:tc>
        <w:tc>
          <w:tcPr>
            <w:tcW w:w="291" w:type="pct"/>
            <w:tcBorders>
              <w:top w:val="nil"/>
              <w:left w:val="nil"/>
              <w:bottom w:val="single" w:sz="4" w:space="0" w:color="auto"/>
              <w:right w:val="single" w:sz="4" w:space="0" w:color="auto"/>
            </w:tcBorders>
            <w:shd w:val="clear" w:color="auto" w:fill="auto"/>
            <w:noWrap/>
            <w:vAlign w:val="center"/>
            <w:hideMark/>
          </w:tcPr>
          <w:p w14:paraId="340AEE3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3.00</w:t>
            </w:r>
          </w:p>
        </w:tc>
        <w:tc>
          <w:tcPr>
            <w:tcW w:w="288" w:type="pct"/>
            <w:tcBorders>
              <w:top w:val="nil"/>
              <w:left w:val="nil"/>
              <w:bottom w:val="single" w:sz="4" w:space="0" w:color="auto"/>
              <w:right w:val="single" w:sz="4" w:space="0" w:color="auto"/>
            </w:tcBorders>
            <w:shd w:val="clear" w:color="auto" w:fill="auto"/>
            <w:noWrap/>
            <w:vAlign w:val="center"/>
            <w:hideMark/>
          </w:tcPr>
          <w:p w14:paraId="22612FA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3.38</w:t>
            </w:r>
          </w:p>
        </w:tc>
        <w:tc>
          <w:tcPr>
            <w:tcW w:w="288" w:type="pct"/>
            <w:tcBorders>
              <w:top w:val="nil"/>
              <w:left w:val="nil"/>
              <w:bottom w:val="single" w:sz="4" w:space="0" w:color="auto"/>
              <w:right w:val="single" w:sz="4" w:space="0" w:color="auto"/>
            </w:tcBorders>
            <w:shd w:val="clear" w:color="auto" w:fill="auto"/>
            <w:noWrap/>
            <w:vAlign w:val="center"/>
            <w:hideMark/>
          </w:tcPr>
          <w:p w14:paraId="056D458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3.75</w:t>
            </w:r>
          </w:p>
        </w:tc>
        <w:tc>
          <w:tcPr>
            <w:tcW w:w="289" w:type="pct"/>
            <w:tcBorders>
              <w:top w:val="nil"/>
              <w:left w:val="nil"/>
              <w:bottom w:val="single" w:sz="4" w:space="0" w:color="auto"/>
              <w:right w:val="single" w:sz="4" w:space="0" w:color="auto"/>
            </w:tcBorders>
            <w:shd w:val="clear" w:color="auto" w:fill="auto"/>
            <w:noWrap/>
            <w:vAlign w:val="center"/>
            <w:hideMark/>
          </w:tcPr>
          <w:p w14:paraId="4C11003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4.50</w:t>
            </w:r>
          </w:p>
        </w:tc>
        <w:tc>
          <w:tcPr>
            <w:tcW w:w="291" w:type="pct"/>
            <w:tcBorders>
              <w:top w:val="nil"/>
              <w:left w:val="nil"/>
              <w:bottom w:val="single" w:sz="4" w:space="0" w:color="auto"/>
              <w:right w:val="single" w:sz="4" w:space="0" w:color="auto"/>
            </w:tcBorders>
            <w:shd w:val="clear" w:color="auto" w:fill="auto"/>
            <w:noWrap/>
            <w:vAlign w:val="center"/>
            <w:hideMark/>
          </w:tcPr>
          <w:p w14:paraId="434141D3"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5.25</w:t>
            </w:r>
          </w:p>
        </w:tc>
        <w:tc>
          <w:tcPr>
            <w:tcW w:w="291" w:type="pct"/>
            <w:tcBorders>
              <w:top w:val="nil"/>
              <w:left w:val="nil"/>
              <w:bottom w:val="single" w:sz="4" w:space="0" w:color="auto"/>
              <w:right w:val="single" w:sz="4" w:space="0" w:color="auto"/>
            </w:tcBorders>
            <w:shd w:val="clear" w:color="auto" w:fill="auto"/>
            <w:noWrap/>
            <w:vAlign w:val="center"/>
            <w:hideMark/>
          </w:tcPr>
          <w:p w14:paraId="3987165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6.00</w:t>
            </w:r>
          </w:p>
        </w:tc>
        <w:tc>
          <w:tcPr>
            <w:tcW w:w="291" w:type="pct"/>
            <w:tcBorders>
              <w:top w:val="nil"/>
              <w:left w:val="nil"/>
              <w:bottom w:val="single" w:sz="4" w:space="0" w:color="auto"/>
              <w:right w:val="single" w:sz="4" w:space="0" w:color="auto"/>
            </w:tcBorders>
            <w:shd w:val="clear" w:color="auto" w:fill="auto"/>
            <w:noWrap/>
            <w:vAlign w:val="center"/>
            <w:hideMark/>
          </w:tcPr>
          <w:p w14:paraId="0E6FF30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6.75</w:t>
            </w:r>
          </w:p>
        </w:tc>
        <w:tc>
          <w:tcPr>
            <w:tcW w:w="285" w:type="pct"/>
            <w:tcBorders>
              <w:top w:val="nil"/>
              <w:left w:val="nil"/>
              <w:bottom w:val="single" w:sz="4" w:space="0" w:color="auto"/>
              <w:right w:val="single" w:sz="4" w:space="0" w:color="auto"/>
            </w:tcBorders>
            <w:shd w:val="clear" w:color="auto" w:fill="auto"/>
            <w:noWrap/>
            <w:vAlign w:val="center"/>
            <w:hideMark/>
          </w:tcPr>
          <w:p w14:paraId="77CAFF9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r>
      <w:tr w:rsidR="006D2651" w:rsidRPr="006D2651" w14:paraId="251140B9" w14:textId="77777777" w:rsidTr="00C34994">
        <w:trPr>
          <w:trHeight w:val="392"/>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78EBCDB2"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volumes(MMTPA)</w:t>
            </w:r>
          </w:p>
        </w:tc>
        <w:tc>
          <w:tcPr>
            <w:tcW w:w="291" w:type="pct"/>
            <w:tcBorders>
              <w:top w:val="nil"/>
              <w:left w:val="nil"/>
              <w:bottom w:val="single" w:sz="4" w:space="0" w:color="auto"/>
              <w:right w:val="single" w:sz="4" w:space="0" w:color="auto"/>
            </w:tcBorders>
            <w:shd w:val="clear" w:color="auto" w:fill="auto"/>
            <w:noWrap/>
            <w:vAlign w:val="center"/>
            <w:hideMark/>
          </w:tcPr>
          <w:p w14:paraId="093F228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2.00</w:t>
            </w:r>
          </w:p>
        </w:tc>
        <w:tc>
          <w:tcPr>
            <w:tcW w:w="291" w:type="pct"/>
            <w:tcBorders>
              <w:top w:val="nil"/>
              <w:left w:val="nil"/>
              <w:bottom w:val="single" w:sz="4" w:space="0" w:color="auto"/>
              <w:right w:val="single" w:sz="4" w:space="0" w:color="auto"/>
            </w:tcBorders>
            <w:shd w:val="clear" w:color="auto" w:fill="auto"/>
            <w:noWrap/>
            <w:vAlign w:val="center"/>
            <w:hideMark/>
          </w:tcPr>
          <w:p w14:paraId="561B2D4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2.85</w:t>
            </w:r>
          </w:p>
        </w:tc>
        <w:tc>
          <w:tcPr>
            <w:tcW w:w="291" w:type="pct"/>
            <w:tcBorders>
              <w:top w:val="nil"/>
              <w:left w:val="nil"/>
              <w:bottom w:val="single" w:sz="4" w:space="0" w:color="auto"/>
              <w:right w:val="single" w:sz="4" w:space="0" w:color="auto"/>
            </w:tcBorders>
            <w:shd w:val="clear" w:color="auto" w:fill="auto"/>
            <w:noWrap/>
            <w:vAlign w:val="center"/>
            <w:hideMark/>
          </w:tcPr>
          <w:p w14:paraId="6BA550D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3.00</w:t>
            </w:r>
          </w:p>
        </w:tc>
        <w:tc>
          <w:tcPr>
            <w:tcW w:w="288" w:type="pct"/>
            <w:tcBorders>
              <w:top w:val="nil"/>
              <w:left w:val="nil"/>
              <w:bottom w:val="single" w:sz="4" w:space="0" w:color="auto"/>
              <w:right w:val="single" w:sz="4" w:space="0" w:color="auto"/>
            </w:tcBorders>
            <w:shd w:val="clear" w:color="auto" w:fill="auto"/>
            <w:noWrap/>
            <w:vAlign w:val="center"/>
            <w:hideMark/>
          </w:tcPr>
          <w:p w14:paraId="401B239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3.00</w:t>
            </w:r>
          </w:p>
        </w:tc>
        <w:tc>
          <w:tcPr>
            <w:tcW w:w="288" w:type="pct"/>
            <w:tcBorders>
              <w:top w:val="nil"/>
              <w:left w:val="nil"/>
              <w:bottom w:val="single" w:sz="4" w:space="0" w:color="auto"/>
              <w:right w:val="single" w:sz="4" w:space="0" w:color="auto"/>
            </w:tcBorders>
            <w:shd w:val="clear" w:color="auto" w:fill="auto"/>
            <w:noWrap/>
            <w:vAlign w:val="center"/>
            <w:hideMark/>
          </w:tcPr>
          <w:p w14:paraId="6C314FD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hAnsi="Times New Roman"/>
                <w:sz w:val="20"/>
                <w:szCs w:val="20"/>
              </w:rPr>
              <w:t>3.45</w:t>
            </w:r>
          </w:p>
        </w:tc>
        <w:tc>
          <w:tcPr>
            <w:tcW w:w="289" w:type="pct"/>
            <w:tcBorders>
              <w:top w:val="nil"/>
              <w:left w:val="nil"/>
              <w:bottom w:val="single" w:sz="4" w:space="0" w:color="auto"/>
              <w:right w:val="single" w:sz="4" w:space="0" w:color="auto"/>
            </w:tcBorders>
            <w:shd w:val="clear" w:color="auto" w:fill="auto"/>
            <w:noWrap/>
            <w:vAlign w:val="center"/>
            <w:hideMark/>
          </w:tcPr>
          <w:p w14:paraId="3ACFD75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4.45</w:t>
            </w:r>
          </w:p>
        </w:tc>
        <w:tc>
          <w:tcPr>
            <w:tcW w:w="291" w:type="pct"/>
            <w:tcBorders>
              <w:top w:val="nil"/>
              <w:left w:val="nil"/>
              <w:bottom w:val="single" w:sz="4" w:space="0" w:color="auto"/>
              <w:right w:val="single" w:sz="4" w:space="0" w:color="auto"/>
            </w:tcBorders>
            <w:shd w:val="clear" w:color="auto" w:fill="auto"/>
            <w:noWrap/>
            <w:vAlign w:val="center"/>
            <w:hideMark/>
          </w:tcPr>
          <w:p w14:paraId="528543A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5.20</w:t>
            </w:r>
          </w:p>
        </w:tc>
        <w:tc>
          <w:tcPr>
            <w:tcW w:w="291" w:type="pct"/>
            <w:tcBorders>
              <w:top w:val="nil"/>
              <w:left w:val="nil"/>
              <w:bottom w:val="single" w:sz="4" w:space="0" w:color="auto"/>
              <w:right w:val="single" w:sz="4" w:space="0" w:color="auto"/>
            </w:tcBorders>
            <w:shd w:val="clear" w:color="auto" w:fill="auto"/>
            <w:noWrap/>
            <w:vAlign w:val="center"/>
            <w:hideMark/>
          </w:tcPr>
          <w:p w14:paraId="5D82359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5.75</w:t>
            </w:r>
          </w:p>
        </w:tc>
        <w:tc>
          <w:tcPr>
            <w:tcW w:w="291" w:type="pct"/>
            <w:tcBorders>
              <w:top w:val="nil"/>
              <w:left w:val="nil"/>
              <w:bottom w:val="single" w:sz="4" w:space="0" w:color="auto"/>
              <w:right w:val="single" w:sz="4" w:space="0" w:color="auto"/>
            </w:tcBorders>
            <w:shd w:val="clear" w:color="auto" w:fill="auto"/>
            <w:noWrap/>
            <w:vAlign w:val="center"/>
            <w:hideMark/>
          </w:tcPr>
          <w:p w14:paraId="674EB15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6.85</w:t>
            </w:r>
          </w:p>
        </w:tc>
        <w:tc>
          <w:tcPr>
            <w:tcW w:w="285" w:type="pct"/>
            <w:tcBorders>
              <w:top w:val="nil"/>
              <w:left w:val="nil"/>
              <w:bottom w:val="single" w:sz="4" w:space="0" w:color="auto"/>
              <w:right w:val="single" w:sz="4" w:space="0" w:color="auto"/>
            </w:tcBorders>
            <w:shd w:val="clear" w:color="auto" w:fill="auto"/>
            <w:noWrap/>
            <w:vAlign w:val="center"/>
            <w:hideMark/>
          </w:tcPr>
          <w:p w14:paraId="50F6BF2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8.25</w:t>
            </w:r>
          </w:p>
        </w:tc>
      </w:tr>
      <w:tr w:rsidR="006D2651" w:rsidRPr="006D2651" w14:paraId="739E98BA" w14:textId="77777777" w:rsidTr="00C34994">
        <w:trPr>
          <w:trHeight w:val="392"/>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21ECBA19"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adjustment(MMTPA)</w:t>
            </w:r>
          </w:p>
        </w:tc>
        <w:tc>
          <w:tcPr>
            <w:tcW w:w="291" w:type="pct"/>
            <w:tcBorders>
              <w:top w:val="nil"/>
              <w:left w:val="nil"/>
              <w:bottom w:val="single" w:sz="4" w:space="0" w:color="auto"/>
              <w:right w:val="single" w:sz="4" w:space="0" w:color="auto"/>
            </w:tcBorders>
            <w:shd w:val="clear" w:color="auto" w:fill="auto"/>
            <w:noWrap/>
            <w:vAlign w:val="center"/>
            <w:hideMark/>
          </w:tcPr>
          <w:p w14:paraId="11AC101A"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2.00</w:t>
            </w:r>
          </w:p>
        </w:tc>
        <w:tc>
          <w:tcPr>
            <w:tcW w:w="291" w:type="pct"/>
            <w:tcBorders>
              <w:top w:val="nil"/>
              <w:left w:val="nil"/>
              <w:bottom w:val="single" w:sz="4" w:space="0" w:color="auto"/>
              <w:right w:val="single" w:sz="4" w:space="0" w:color="auto"/>
            </w:tcBorders>
            <w:shd w:val="clear" w:color="auto" w:fill="auto"/>
            <w:noWrap/>
            <w:vAlign w:val="center"/>
            <w:hideMark/>
          </w:tcPr>
          <w:p w14:paraId="10F25FB5"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2.85</w:t>
            </w:r>
          </w:p>
        </w:tc>
        <w:tc>
          <w:tcPr>
            <w:tcW w:w="291" w:type="pct"/>
            <w:tcBorders>
              <w:top w:val="nil"/>
              <w:left w:val="nil"/>
              <w:bottom w:val="single" w:sz="4" w:space="0" w:color="auto"/>
              <w:right w:val="single" w:sz="4" w:space="0" w:color="auto"/>
            </w:tcBorders>
            <w:shd w:val="clear" w:color="auto" w:fill="auto"/>
            <w:noWrap/>
            <w:vAlign w:val="center"/>
            <w:hideMark/>
          </w:tcPr>
          <w:p w14:paraId="3D4E675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3.00</w:t>
            </w:r>
          </w:p>
        </w:tc>
        <w:tc>
          <w:tcPr>
            <w:tcW w:w="288" w:type="pct"/>
            <w:tcBorders>
              <w:top w:val="nil"/>
              <w:left w:val="nil"/>
              <w:bottom w:val="single" w:sz="4" w:space="0" w:color="auto"/>
              <w:right w:val="single" w:sz="4" w:space="0" w:color="auto"/>
            </w:tcBorders>
            <w:shd w:val="clear" w:color="auto" w:fill="auto"/>
            <w:noWrap/>
            <w:vAlign w:val="center"/>
            <w:hideMark/>
          </w:tcPr>
          <w:p w14:paraId="03DE49A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3.00</w:t>
            </w:r>
          </w:p>
        </w:tc>
        <w:tc>
          <w:tcPr>
            <w:tcW w:w="288" w:type="pct"/>
            <w:tcBorders>
              <w:top w:val="nil"/>
              <w:left w:val="nil"/>
              <w:bottom w:val="single" w:sz="4" w:space="0" w:color="auto"/>
              <w:right w:val="single" w:sz="4" w:space="0" w:color="auto"/>
            </w:tcBorders>
            <w:shd w:val="clear" w:color="auto" w:fill="auto"/>
            <w:noWrap/>
            <w:vAlign w:val="center"/>
            <w:hideMark/>
          </w:tcPr>
          <w:p w14:paraId="01BB1F46"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3.45</w:t>
            </w:r>
          </w:p>
        </w:tc>
        <w:tc>
          <w:tcPr>
            <w:tcW w:w="289" w:type="pct"/>
            <w:tcBorders>
              <w:top w:val="nil"/>
              <w:left w:val="nil"/>
              <w:bottom w:val="single" w:sz="4" w:space="0" w:color="auto"/>
              <w:right w:val="single" w:sz="4" w:space="0" w:color="auto"/>
            </w:tcBorders>
            <w:shd w:val="clear" w:color="auto" w:fill="auto"/>
            <w:noWrap/>
            <w:vAlign w:val="center"/>
            <w:hideMark/>
          </w:tcPr>
          <w:p w14:paraId="02AB70FD" w14:textId="77777777" w:rsidR="006D2651" w:rsidRPr="006D2651" w:rsidRDefault="006D2651" w:rsidP="006D2651">
            <w:pPr>
              <w:spacing w:after="0"/>
              <w:jc w:val="center"/>
              <w:rPr>
                <w:rFonts w:ascii="Times New Roman" w:hAnsi="Times New Roman"/>
                <w:sz w:val="20"/>
                <w:szCs w:val="20"/>
              </w:rPr>
            </w:pPr>
            <w:r w:rsidRPr="006D2651">
              <w:rPr>
                <w:rFonts w:ascii="Times New Roman" w:eastAsia="Times New Roman" w:hAnsi="Times New Roman"/>
                <w:color w:val="000000"/>
                <w:sz w:val="20"/>
                <w:szCs w:val="20"/>
              </w:rPr>
              <w:t>4.45</w:t>
            </w:r>
          </w:p>
        </w:tc>
        <w:tc>
          <w:tcPr>
            <w:tcW w:w="291" w:type="pct"/>
            <w:tcBorders>
              <w:top w:val="nil"/>
              <w:left w:val="nil"/>
              <w:bottom w:val="single" w:sz="4" w:space="0" w:color="auto"/>
              <w:right w:val="single" w:sz="4" w:space="0" w:color="auto"/>
            </w:tcBorders>
            <w:shd w:val="clear" w:color="auto" w:fill="auto"/>
            <w:noWrap/>
            <w:vAlign w:val="center"/>
            <w:hideMark/>
          </w:tcPr>
          <w:p w14:paraId="061A4201" w14:textId="77777777" w:rsidR="006D2651" w:rsidRPr="006D2651" w:rsidRDefault="006D2651" w:rsidP="006D2651">
            <w:pPr>
              <w:spacing w:after="0"/>
              <w:jc w:val="center"/>
              <w:rPr>
                <w:rFonts w:ascii="Times New Roman" w:hAnsi="Times New Roman"/>
                <w:sz w:val="20"/>
                <w:szCs w:val="20"/>
              </w:rPr>
            </w:pPr>
            <w:r w:rsidRPr="006D2651">
              <w:rPr>
                <w:rFonts w:ascii="Times New Roman" w:eastAsia="Times New Roman" w:hAnsi="Times New Roman"/>
                <w:color w:val="000000"/>
                <w:sz w:val="20"/>
                <w:szCs w:val="20"/>
              </w:rPr>
              <w:t>5.20</w:t>
            </w:r>
          </w:p>
        </w:tc>
        <w:tc>
          <w:tcPr>
            <w:tcW w:w="291" w:type="pct"/>
            <w:tcBorders>
              <w:top w:val="nil"/>
              <w:left w:val="nil"/>
              <w:bottom w:val="single" w:sz="4" w:space="0" w:color="auto"/>
              <w:right w:val="single" w:sz="4" w:space="0" w:color="auto"/>
            </w:tcBorders>
            <w:shd w:val="clear" w:color="auto" w:fill="auto"/>
            <w:noWrap/>
            <w:vAlign w:val="center"/>
            <w:hideMark/>
          </w:tcPr>
          <w:p w14:paraId="3862CB4B" w14:textId="77777777" w:rsidR="006D2651" w:rsidRPr="006D2651" w:rsidRDefault="006D2651" w:rsidP="006D2651">
            <w:pPr>
              <w:spacing w:after="0"/>
              <w:jc w:val="center"/>
              <w:rPr>
                <w:rFonts w:ascii="Times New Roman" w:hAnsi="Times New Roman"/>
                <w:sz w:val="20"/>
                <w:szCs w:val="20"/>
              </w:rPr>
            </w:pPr>
            <w:r w:rsidRPr="006D2651">
              <w:rPr>
                <w:rFonts w:ascii="Times New Roman" w:eastAsia="Times New Roman" w:hAnsi="Times New Roman"/>
                <w:color w:val="000000"/>
                <w:sz w:val="20"/>
                <w:szCs w:val="20"/>
              </w:rPr>
              <w:t>5.75</w:t>
            </w:r>
          </w:p>
        </w:tc>
        <w:tc>
          <w:tcPr>
            <w:tcW w:w="291" w:type="pct"/>
            <w:tcBorders>
              <w:top w:val="nil"/>
              <w:left w:val="nil"/>
              <w:bottom w:val="single" w:sz="4" w:space="0" w:color="auto"/>
              <w:right w:val="single" w:sz="4" w:space="0" w:color="auto"/>
            </w:tcBorders>
            <w:shd w:val="clear" w:color="auto" w:fill="auto"/>
            <w:noWrap/>
            <w:vAlign w:val="center"/>
            <w:hideMark/>
          </w:tcPr>
          <w:p w14:paraId="411DD187" w14:textId="77777777" w:rsidR="006D2651" w:rsidRPr="006D2651" w:rsidRDefault="006D2651" w:rsidP="006D2651">
            <w:pPr>
              <w:spacing w:after="0"/>
              <w:jc w:val="center"/>
              <w:rPr>
                <w:rFonts w:ascii="Times New Roman" w:hAnsi="Times New Roman"/>
                <w:sz w:val="20"/>
                <w:szCs w:val="20"/>
              </w:rPr>
            </w:pPr>
            <w:r w:rsidRPr="006D2651">
              <w:rPr>
                <w:rFonts w:ascii="Times New Roman" w:eastAsia="Times New Roman" w:hAnsi="Times New Roman"/>
                <w:color w:val="000000"/>
                <w:sz w:val="20"/>
                <w:szCs w:val="20"/>
              </w:rPr>
              <w:t>6.85</w:t>
            </w:r>
          </w:p>
        </w:tc>
        <w:tc>
          <w:tcPr>
            <w:tcW w:w="285" w:type="pct"/>
            <w:tcBorders>
              <w:top w:val="nil"/>
              <w:left w:val="nil"/>
              <w:bottom w:val="single" w:sz="4" w:space="0" w:color="auto"/>
              <w:right w:val="single" w:sz="4" w:space="0" w:color="auto"/>
            </w:tcBorders>
            <w:shd w:val="clear" w:color="auto" w:fill="auto"/>
            <w:noWrap/>
            <w:vAlign w:val="center"/>
            <w:hideMark/>
          </w:tcPr>
          <w:p w14:paraId="2FFC0D7F" w14:textId="77777777" w:rsidR="006D2651" w:rsidRPr="006D2651" w:rsidRDefault="006D2651" w:rsidP="006D2651">
            <w:pPr>
              <w:spacing w:after="0"/>
              <w:jc w:val="center"/>
              <w:rPr>
                <w:rFonts w:ascii="Times New Roman" w:hAnsi="Times New Roman"/>
                <w:sz w:val="20"/>
                <w:szCs w:val="20"/>
              </w:rPr>
            </w:pPr>
            <w:r w:rsidRPr="006D2651">
              <w:rPr>
                <w:rFonts w:ascii="Times New Roman" w:eastAsia="Times New Roman" w:hAnsi="Times New Roman"/>
                <w:color w:val="000000"/>
                <w:sz w:val="20"/>
                <w:szCs w:val="20"/>
              </w:rPr>
              <w:t>8.25</w:t>
            </w:r>
          </w:p>
        </w:tc>
      </w:tr>
    </w:tbl>
    <w:p w14:paraId="142C4B57" w14:textId="68E8B272" w:rsidR="00C90AAE" w:rsidRDefault="00C90AAE" w:rsidP="006D2651">
      <w:pPr>
        <w:pStyle w:val="ListParagraph"/>
        <w:spacing w:after="160"/>
        <w:ind w:left="717"/>
        <w:jc w:val="both"/>
        <w:rPr>
          <w:rFonts w:ascii="Times New Roman" w:hAnsi="Times New Roman"/>
          <w:sz w:val="2"/>
          <w:szCs w:val="2"/>
          <w:u w:val="single"/>
        </w:rPr>
      </w:pPr>
    </w:p>
    <w:p w14:paraId="43D44C5B" w14:textId="42820605" w:rsidR="00C90AAE" w:rsidRDefault="00C90AAE" w:rsidP="006D2651">
      <w:pPr>
        <w:pStyle w:val="ListParagraph"/>
        <w:spacing w:after="160"/>
        <w:ind w:left="717"/>
        <w:jc w:val="both"/>
        <w:rPr>
          <w:rFonts w:ascii="Times New Roman" w:hAnsi="Times New Roman"/>
          <w:sz w:val="2"/>
          <w:szCs w:val="2"/>
          <w:u w:val="single"/>
        </w:rPr>
      </w:pPr>
    </w:p>
    <w:p w14:paraId="112DB8D3" w14:textId="22182350" w:rsidR="00C90AAE" w:rsidRDefault="00C90AAE" w:rsidP="006D2651">
      <w:pPr>
        <w:pStyle w:val="ListParagraph"/>
        <w:spacing w:after="160"/>
        <w:ind w:left="717"/>
        <w:jc w:val="both"/>
        <w:rPr>
          <w:rFonts w:ascii="Times New Roman" w:hAnsi="Times New Roman"/>
          <w:sz w:val="2"/>
          <w:szCs w:val="2"/>
          <w:u w:val="single"/>
        </w:rPr>
      </w:pPr>
    </w:p>
    <w:p w14:paraId="130F716F" w14:textId="527F59BC" w:rsidR="00C90AAE" w:rsidRDefault="00C90AAE" w:rsidP="006D2651">
      <w:pPr>
        <w:pStyle w:val="ListParagraph"/>
        <w:spacing w:after="160"/>
        <w:ind w:left="717"/>
        <w:jc w:val="both"/>
        <w:rPr>
          <w:rFonts w:ascii="Times New Roman" w:hAnsi="Times New Roman"/>
          <w:sz w:val="2"/>
          <w:szCs w:val="2"/>
          <w:u w:val="single"/>
        </w:rPr>
      </w:pPr>
    </w:p>
    <w:p w14:paraId="7AA253CA" w14:textId="40756C10" w:rsidR="00C90AAE" w:rsidRDefault="00C90AAE" w:rsidP="006D2651">
      <w:pPr>
        <w:pStyle w:val="ListParagraph"/>
        <w:spacing w:after="160"/>
        <w:ind w:left="717"/>
        <w:jc w:val="both"/>
        <w:rPr>
          <w:rFonts w:ascii="Times New Roman" w:hAnsi="Times New Roman"/>
          <w:sz w:val="2"/>
          <w:szCs w:val="2"/>
          <w:u w:val="single"/>
        </w:rPr>
      </w:pPr>
    </w:p>
    <w:p w14:paraId="73BF6911" w14:textId="112EA76A" w:rsidR="00C90AAE" w:rsidRDefault="00C90AAE" w:rsidP="006D2651">
      <w:pPr>
        <w:pStyle w:val="ListParagraph"/>
        <w:spacing w:after="160"/>
        <w:ind w:left="717"/>
        <w:jc w:val="both"/>
        <w:rPr>
          <w:rFonts w:ascii="Times New Roman" w:hAnsi="Times New Roman"/>
          <w:sz w:val="2"/>
          <w:szCs w:val="2"/>
          <w:u w:val="single"/>
        </w:rPr>
      </w:pPr>
    </w:p>
    <w:p w14:paraId="45D95943" w14:textId="3E422B51" w:rsidR="00C90AAE" w:rsidRDefault="00C90AAE" w:rsidP="006D2651">
      <w:pPr>
        <w:pStyle w:val="ListParagraph"/>
        <w:spacing w:after="160"/>
        <w:ind w:left="717"/>
        <w:jc w:val="both"/>
        <w:rPr>
          <w:rFonts w:ascii="Times New Roman" w:hAnsi="Times New Roman"/>
          <w:sz w:val="2"/>
          <w:szCs w:val="2"/>
          <w:u w:val="single"/>
        </w:rPr>
      </w:pPr>
    </w:p>
    <w:p w14:paraId="0B84A350" w14:textId="7A79E237" w:rsidR="00C90AAE" w:rsidRDefault="00C90AAE" w:rsidP="006D2651">
      <w:pPr>
        <w:pStyle w:val="ListParagraph"/>
        <w:spacing w:after="160"/>
        <w:ind w:left="717"/>
        <w:jc w:val="both"/>
        <w:rPr>
          <w:rFonts w:ascii="Times New Roman" w:hAnsi="Times New Roman"/>
          <w:sz w:val="2"/>
          <w:szCs w:val="2"/>
          <w:u w:val="single"/>
        </w:rPr>
      </w:pPr>
    </w:p>
    <w:p w14:paraId="30E853FD" w14:textId="5BEADC10" w:rsidR="00C90AAE" w:rsidRDefault="00C90AAE" w:rsidP="006D2651">
      <w:pPr>
        <w:pStyle w:val="ListParagraph"/>
        <w:spacing w:after="160"/>
        <w:ind w:left="717"/>
        <w:jc w:val="both"/>
        <w:rPr>
          <w:rFonts w:ascii="Times New Roman" w:hAnsi="Times New Roman"/>
          <w:sz w:val="2"/>
          <w:szCs w:val="2"/>
          <w:u w:val="single"/>
        </w:rPr>
      </w:pPr>
    </w:p>
    <w:p w14:paraId="5C0932C5" w14:textId="67ED8B0D" w:rsidR="00C90AAE" w:rsidRDefault="00C90AAE" w:rsidP="006D2651">
      <w:pPr>
        <w:pStyle w:val="ListParagraph"/>
        <w:spacing w:after="160"/>
        <w:ind w:left="717"/>
        <w:jc w:val="both"/>
        <w:rPr>
          <w:rFonts w:ascii="Times New Roman" w:hAnsi="Times New Roman"/>
          <w:sz w:val="2"/>
          <w:szCs w:val="2"/>
          <w:u w:val="single"/>
        </w:rPr>
      </w:pPr>
    </w:p>
    <w:p w14:paraId="1EFC699C" w14:textId="77777777" w:rsidR="00C90AAE" w:rsidRPr="0099442F" w:rsidRDefault="00C90AAE" w:rsidP="006D2651">
      <w:pPr>
        <w:pStyle w:val="ListParagraph"/>
        <w:spacing w:after="160"/>
        <w:ind w:left="717"/>
        <w:jc w:val="both"/>
        <w:rPr>
          <w:rFonts w:ascii="Times New Roman" w:hAnsi="Times New Roman"/>
          <w:sz w:val="2"/>
          <w:szCs w:val="2"/>
          <w:u w:val="single"/>
        </w:rPr>
      </w:pPr>
    </w:p>
    <w:tbl>
      <w:tblPr>
        <w:tblW w:w="5670" w:type="pct"/>
        <w:tblInd w:w="-572" w:type="dxa"/>
        <w:tblLayout w:type="fixed"/>
        <w:tblLook w:val="04A0" w:firstRow="1" w:lastRow="0" w:firstColumn="1" w:lastColumn="0" w:noHBand="0" w:noVBand="1"/>
      </w:tblPr>
      <w:tblGrid>
        <w:gridCol w:w="3725"/>
        <w:gridCol w:w="603"/>
        <w:gridCol w:w="603"/>
        <w:gridCol w:w="603"/>
        <w:gridCol w:w="602"/>
        <w:gridCol w:w="602"/>
        <w:gridCol w:w="602"/>
        <w:gridCol w:w="602"/>
        <w:gridCol w:w="602"/>
        <w:gridCol w:w="602"/>
        <w:gridCol w:w="602"/>
        <w:gridCol w:w="855"/>
      </w:tblGrid>
      <w:tr w:rsidR="006D2651" w:rsidRPr="006D2651" w14:paraId="2F7CEAC0" w14:textId="77777777" w:rsidTr="00C34994">
        <w:trPr>
          <w:trHeight w:val="305"/>
        </w:trPr>
        <w:tc>
          <w:tcPr>
            <w:tcW w:w="1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62C67"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Particulars</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5A922DBA"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Y11</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34F12F42"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Y12</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23AEC60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Y13</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02EFC639"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Y14</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43943DB7"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29107A7D"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Y16</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7837D231"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Y17</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10879844"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Y18</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3CE922EC"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Y19</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56ED96BE"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Y20</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14:paraId="73BCDD26" w14:textId="77777777" w:rsidR="006D2651" w:rsidRPr="006D2651" w:rsidRDefault="006D2651" w:rsidP="006D2651">
            <w:pPr>
              <w:spacing w:after="0"/>
              <w:jc w:val="center"/>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Total</w:t>
            </w:r>
          </w:p>
        </w:tc>
      </w:tr>
      <w:tr w:rsidR="006D2651" w:rsidRPr="006D2651" w14:paraId="2CBB98B6" w14:textId="77777777" w:rsidTr="00C34994">
        <w:trPr>
          <w:trHeight w:val="392"/>
        </w:trPr>
        <w:tc>
          <w:tcPr>
            <w:tcW w:w="1755" w:type="pct"/>
            <w:tcBorders>
              <w:top w:val="nil"/>
              <w:left w:val="single" w:sz="4" w:space="0" w:color="auto"/>
              <w:bottom w:val="single" w:sz="4" w:space="0" w:color="auto"/>
              <w:right w:val="single" w:sz="4" w:space="0" w:color="auto"/>
            </w:tcBorders>
            <w:shd w:val="clear" w:color="auto" w:fill="auto"/>
            <w:noWrap/>
            <w:vAlign w:val="center"/>
            <w:hideMark/>
          </w:tcPr>
          <w:p w14:paraId="6646899C"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Capacity of Pipeline (MMTPA)</w:t>
            </w:r>
          </w:p>
        </w:tc>
        <w:tc>
          <w:tcPr>
            <w:tcW w:w="284" w:type="pct"/>
            <w:tcBorders>
              <w:top w:val="nil"/>
              <w:left w:val="nil"/>
              <w:bottom w:val="single" w:sz="4" w:space="0" w:color="auto"/>
              <w:right w:val="single" w:sz="4" w:space="0" w:color="auto"/>
            </w:tcBorders>
            <w:shd w:val="clear" w:color="auto" w:fill="auto"/>
            <w:noWrap/>
            <w:vAlign w:val="center"/>
            <w:hideMark/>
          </w:tcPr>
          <w:p w14:paraId="3B1A18E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733A8A6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27DD1AA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6854C5E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1738CFB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79864E9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3080E06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5B2D8D1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7D8A4B4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284" w:type="pct"/>
            <w:tcBorders>
              <w:top w:val="nil"/>
              <w:left w:val="nil"/>
              <w:bottom w:val="single" w:sz="4" w:space="0" w:color="auto"/>
              <w:right w:val="single" w:sz="4" w:space="0" w:color="auto"/>
            </w:tcBorders>
            <w:shd w:val="clear" w:color="auto" w:fill="auto"/>
            <w:noWrap/>
            <w:vAlign w:val="center"/>
            <w:hideMark/>
          </w:tcPr>
          <w:p w14:paraId="3D76A4C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w:t>
            </w:r>
          </w:p>
        </w:tc>
        <w:tc>
          <w:tcPr>
            <w:tcW w:w="403" w:type="pct"/>
            <w:tcBorders>
              <w:top w:val="nil"/>
              <w:left w:val="nil"/>
              <w:bottom w:val="single" w:sz="4" w:space="0" w:color="auto"/>
              <w:right w:val="single" w:sz="4" w:space="0" w:color="auto"/>
            </w:tcBorders>
            <w:shd w:val="clear" w:color="auto" w:fill="auto"/>
            <w:noWrap/>
            <w:vAlign w:val="center"/>
            <w:hideMark/>
          </w:tcPr>
          <w:p w14:paraId="0B9D4DBA"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08B378B0" w14:textId="77777777" w:rsidTr="00C34994">
        <w:trPr>
          <w:trHeight w:val="392"/>
        </w:trPr>
        <w:tc>
          <w:tcPr>
            <w:tcW w:w="1755" w:type="pct"/>
            <w:tcBorders>
              <w:top w:val="nil"/>
              <w:left w:val="single" w:sz="4" w:space="0" w:color="auto"/>
              <w:bottom w:val="single" w:sz="4" w:space="0" w:color="auto"/>
              <w:right w:val="single" w:sz="4" w:space="0" w:color="auto"/>
            </w:tcBorders>
            <w:shd w:val="clear" w:color="auto" w:fill="auto"/>
            <w:noWrap/>
            <w:vAlign w:val="center"/>
            <w:hideMark/>
          </w:tcPr>
          <w:p w14:paraId="33DE442D"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w:t>
            </w:r>
          </w:p>
        </w:tc>
        <w:tc>
          <w:tcPr>
            <w:tcW w:w="284" w:type="pct"/>
            <w:tcBorders>
              <w:top w:val="nil"/>
              <w:left w:val="nil"/>
              <w:bottom w:val="single" w:sz="4" w:space="0" w:color="auto"/>
              <w:right w:val="single" w:sz="4" w:space="0" w:color="auto"/>
            </w:tcBorders>
            <w:shd w:val="clear" w:color="auto" w:fill="auto"/>
            <w:noWrap/>
            <w:vAlign w:val="center"/>
            <w:hideMark/>
          </w:tcPr>
          <w:p w14:paraId="70EA45D1"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66854A1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2278A5E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0982772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6D22B96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682FD69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0E48835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0EE2D58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2F2675B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284" w:type="pct"/>
            <w:tcBorders>
              <w:top w:val="nil"/>
              <w:left w:val="nil"/>
              <w:bottom w:val="single" w:sz="4" w:space="0" w:color="auto"/>
              <w:right w:val="single" w:sz="4" w:space="0" w:color="auto"/>
            </w:tcBorders>
            <w:shd w:val="clear" w:color="auto" w:fill="auto"/>
            <w:noWrap/>
            <w:vAlign w:val="center"/>
            <w:hideMark/>
          </w:tcPr>
          <w:p w14:paraId="717F710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403" w:type="pct"/>
            <w:tcBorders>
              <w:top w:val="nil"/>
              <w:left w:val="nil"/>
              <w:bottom w:val="single" w:sz="4" w:space="0" w:color="auto"/>
              <w:right w:val="single" w:sz="4" w:space="0" w:color="auto"/>
            </w:tcBorders>
            <w:shd w:val="clear" w:color="auto" w:fill="auto"/>
            <w:noWrap/>
            <w:vAlign w:val="center"/>
            <w:hideMark/>
          </w:tcPr>
          <w:p w14:paraId="0E7A8FD2" w14:textId="77777777" w:rsidR="006D2651" w:rsidRDefault="006D2651" w:rsidP="006D2651">
            <w:pPr>
              <w:spacing w:after="0"/>
              <w:jc w:val="center"/>
              <w:rPr>
                <w:rFonts w:ascii="Times New Roman" w:eastAsia="Times New Roman" w:hAnsi="Times New Roman"/>
                <w:color w:val="000000"/>
                <w:sz w:val="20"/>
                <w:szCs w:val="20"/>
              </w:rPr>
            </w:pPr>
          </w:p>
          <w:p w14:paraId="4120218A" w14:textId="584C9EF2" w:rsidR="00C90AAE" w:rsidRPr="006D2651" w:rsidRDefault="00C90AAE" w:rsidP="006D2651">
            <w:pPr>
              <w:spacing w:after="0"/>
              <w:jc w:val="center"/>
              <w:rPr>
                <w:rFonts w:ascii="Times New Roman" w:eastAsia="Times New Roman" w:hAnsi="Times New Roman"/>
                <w:color w:val="000000"/>
                <w:sz w:val="20"/>
                <w:szCs w:val="20"/>
              </w:rPr>
            </w:pPr>
          </w:p>
        </w:tc>
      </w:tr>
      <w:tr w:rsidR="006D2651" w:rsidRPr="006D2651" w14:paraId="0C0199E6" w14:textId="77777777" w:rsidTr="00C34994">
        <w:trPr>
          <w:trHeight w:val="392"/>
        </w:trPr>
        <w:tc>
          <w:tcPr>
            <w:tcW w:w="1755" w:type="pct"/>
            <w:tcBorders>
              <w:top w:val="nil"/>
              <w:left w:val="single" w:sz="4" w:space="0" w:color="auto"/>
              <w:bottom w:val="single" w:sz="4" w:space="0" w:color="auto"/>
              <w:right w:val="single" w:sz="4" w:space="0" w:color="auto"/>
            </w:tcBorders>
            <w:shd w:val="clear" w:color="auto" w:fill="auto"/>
            <w:noWrap/>
            <w:vAlign w:val="center"/>
            <w:hideMark/>
          </w:tcPr>
          <w:p w14:paraId="6829AB56"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(MMTPA)</w:t>
            </w:r>
          </w:p>
        </w:tc>
        <w:tc>
          <w:tcPr>
            <w:tcW w:w="284" w:type="pct"/>
            <w:tcBorders>
              <w:top w:val="nil"/>
              <w:left w:val="nil"/>
              <w:bottom w:val="single" w:sz="4" w:space="0" w:color="auto"/>
              <w:right w:val="single" w:sz="4" w:space="0" w:color="auto"/>
            </w:tcBorders>
            <w:shd w:val="clear" w:color="auto" w:fill="auto"/>
            <w:noWrap/>
            <w:vAlign w:val="center"/>
            <w:hideMark/>
          </w:tcPr>
          <w:p w14:paraId="219EF350"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69E8FB3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29FA147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79F00ED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09773B3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3E282585"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2534260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5CA4862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2EBC7B2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0FCDB5A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403" w:type="pct"/>
            <w:tcBorders>
              <w:top w:val="nil"/>
              <w:left w:val="nil"/>
              <w:bottom w:val="single" w:sz="4" w:space="0" w:color="auto"/>
              <w:right w:val="single" w:sz="4" w:space="0" w:color="auto"/>
            </w:tcBorders>
            <w:shd w:val="clear" w:color="auto" w:fill="auto"/>
            <w:noWrap/>
            <w:vAlign w:val="center"/>
            <w:hideMark/>
          </w:tcPr>
          <w:p w14:paraId="61BF894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120.00</w:t>
            </w:r>
          </w:p>
        </w:tc>
      </w:tr>
      <w:tr w:rsidR="006D2651" w:rsidRPr="006D2651" w14:paraId="12866D52" w14:textId="77777777" w:rsidTr="00C34994">
        <w:trPr>
          <w:trHeight w:val="392"/>
        </w:trPr>
        <w:tc>
          <w:tcPr>
            <w:tcW w:w="1755" w:type="pct"/>
            <w:tcBorders>
              <w:top w:val="nil"/>
              <w:left w:val="single" w:sz="4" w:space="0" w:color="auto"/>
              <w:bottom w:val="single" w:sz="4" w:space="0" w:color="auto"/>
              <w:right w:val="single" w:sz="4" w:space="0" w:color="auto"/>
            </w:tcBorders>
            <w:shd w:val="clear" w:color="auto" w:fill="auto"/>
            <w:noWrap/>
            <w:vAlign w:val="center"/>
            <w:hideMark/>
          </w:tcPr>
          <w:p w14:paraId="3479B5C4"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Actual volumes(MMTPA)</w:t>
            </w:r>
          </w:p>
        </w:tc>
        <w:tc>
          <w:tcPr>
            <w:tcW w:w="284" w:type="pct"/>
            <w:tcBorders>
              <w:top w:val="nil"/>
              <w:left w:val="nil"/>
              <w:bottom w:val="single" w:sz="4" w:space="0" w:color="auto"/>
              <w:right w:val="single" w:sz="4" w:space="0" w:color="auto"/>
            </w:tcBorders>
            <w:shd w:val="clear" w:color="auto" w:fill="auto"/>
            <w:noWrap/>
            <w:vAlign w:val="center"/>
            <w:hideMark/>
          </w:tcPr>
          <w:p w14:paraId="3C3EF64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8.50</w:t>
            </w:r>
          </w:p>
        </w:tc>
        <w:tc>
          <w:tcPr>
            <w:tcW w:w="284" w:type="pct"/>
            <w:tcBorders>
              <w:top w:val="nil"/>
              <w:left w:val="nil"/>
              <w:bottom w:val="single" w:sz="4" w:space="0" w:color="auto"/>
              <w:right w:val="single" w:sz="4" w:space="0" w:color="auto"/>
            </w:tcBorders>
            <w:shd w:val="clear" w:color="auto" w:fill="auto"/>
            <w:noWrap/>
            <w:vAlign w:val="center"/>
            <w:hideMark/>
          </w:tcPr>
          <w:p w14:paraId="567B902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8.75</w:t>
            </w:r>
          </w:p>
        </w:tc>
        <w:tc>
          <w:tcPr>
            <w:tcW w:w="284" w:type="pct"/>
            <w:tcBorders>
              <w:top w:val="nil"/>
              <w:left w:val="nil"/>
              <w:bottom w:val="single" w:sz="4" w:space="0" w:color="auto"/>
              <w:right w:val="single" w:sz="4" w:space="0" w:color="auto"/>
            </w:tcBorders>
            <w:shd w:val="clear" w:color="auto" w:fill="auto"/>
            <w:noWrap/>
            <w:vAlign w:val="center"/>
            <w:hideMark/>
          </w:tcPr>
          <w:p w14:paraId="5D554FF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9.00</w:t>
            </w:r>
          </w:p>
        </w:tc>
        <w:tc>
          <w:tcPr>
            <w:tcW w:w="284" w:type="pct"/>
            <w:tcBorders>
              <w:top w:val="nil"/>
              <w:left w:val="nil"/>
              <w:bottom w:val="single" w:sz="4" w:space="0" w:color="auto"/>
              <w:right w:val="single" w:sz="4" w:space="0" w:color="auto"/>
            </w:tcBorders>
            <w:shd w:val="clear" w:color="auto" w:fill="auto"/>
            <w:noWrap/>
            <w:vAlign w:val="center"/>
            <w:hideMark/>
          </w:tcPr>
          <w:p w14:paraId="2CEA0BA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9.25</w:t>
            </w:r>
          </w:p>
        </w:tc>
        <w:tc>
          <w:tcPr>
            <w:tcW w:w="284" w:type="pct"/>
            <w:tcBorders>
              <w:top w:val="nil"/>
              <w:left w:val="nil"/>
              <w:bottom w:val="single" w:sz="4" w:space="0" w:color="auto"/>
              <w:right w:val="single" w:sz="4" w:space="0" w:color="auto"/>
            </w:tcBorders>
            <w:shd w:val="clear" w:color="auto" w:fill="auto"/>
            <w:noWrap/>
            <w:vAlign w:val="center"/>
            <w:hideMark/>
          </w:tcPr>
          <w:p w14:paraId="29CECE3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9.50</w:t>
            </w:r>
          </w:p>
        </w:tc>
        <w:tc>
          <w:tcPr>
            <w:tcW w:w="284" w:type="pct"/>
            <w:tcBorders>
              <w:top w:val="nil"/>
              <w:left w:val="nil"/>
              <w:bottom w:val="single" w:sz="4" w:space="0" w:color="auto"/>
              <w:right w:val="single" w:sz="4" w:space="0" w:color="auto"/>
            </w:tcBorders>
            <w:shd w:val="clear" w:color="auto" w:fill="auto"/>
            <w:noWrap/>
            <w:vAlign w:val="center"/>
            <w:hideMark/>
          </w:tcPr>
          <w:p w14:paraId="7DCA73D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84" w:type="pct"/>
            <w:tcBorders>
              <w:top w:val="nil"/>
              <w:left w:val="nil"/>
              <w:bottom w:val="single" w:sz="4" w:space="0" w:color="auto"/>
              <w:right w:val="single" w:sz="4" w:space="0" w:color="auto"/>
            </w:tcBorders>
            <w:shd w:val="clear" w:color="auto" w:fill="auto"/>
            <w:noWrap/>
            <w:vAlign w:val="center"/>
            <w:hideMark/>
          </w:tcPr>
          <w:p w14:paraId="5ACBDB98"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84" w:type="pct"/>
            <w:tcBorders>
              <w:top w:val="nil"/>
              <w:left w:val="nil"/>
              <w:bottom w:val="single" w:sz="4" w:space="0" w:color="auto"/>
              <w:right w:val="single" w:sz="4" w:space="0" w:color="auto"/>
            </w:tcBorders>
            <w:shd w:val="clear" w:color="auto" w:fill="auto"/>
            <w:noWrap/>
            <w:vAlign w:val="center"/>
            <w:hideMark/>
          </w:tcPr>
          <w:p w14:paraId="59B44F3A"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84" w:type="pct"/>
            <w:tcBorders>
              <w:top w:val="nil"/>
              <w:left w:val="nil"/>
              <w:bottom w:val="single" w:sz="4" w:space="0" w:color="auto"/>
              <w:right w:val="single" w:sz="4" w:space="0" w:color="auto"/>
            </w:tcBorders>
            <w:shd w:val="clear" w:color="auto" w:fill="auto"/>
            <w:noWrap/>
            <w:vAlign w:val="center"/>
            <w:hideMark/>
          </w:tcPr>
          <w:p w14:paraId="75504B52"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284" w:type="pct"/>
            <w:tcBorders>
              <w:top w:val="nil"/>
              <w:left w:val="nil"/>
              <w:bottom w:val="single" w:sz="4" w:space="0" w:color="auto"/>
              <w:right w:val="single" w:sz="4" w:space="0" w:color="auto"/>
            </w:tcBorders>
            <w:shd w:val="clear" w:color="auto" w:fill="auto"/>
            <w:noWrap/>
            <w:vAlign w:val="center"/>
            <w:hideMark/>
          </w:tcPr>
          <w:p w14:paraId="24666E2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w:t>
            </w:r>
          </w:p>
        </w:tc>
        <w:tc>
          <w:tcPr>
            <w:tcW w:w="403" w:type="pct"/>
            <w:tcBorders>
              <w:top w:val="nil"/>
              <w:left w:val="nil"/>
              <w:bottom w:val="single" w:sz="4" w:space="0" w:color="auto"/>
              <w:right w:val="single" w:sz="4" w:space="0" w:color="auto"/>
            </w:tcBorders>
            <w:shd w:val="clear" w:color="auto" w:fill="auto"/>
            <w:noWrap/>
            <w:vAlign w:val="center"/>
            <w:hideMark/>
          </w:tcPr>
          <w:p w14:paraId="089D3853" w14:textId="77777777" w:rsidR="006D2651" w:rsidRPr="006D2651" w:rsidRDefault="006D2651" w:rsidP="006D2651">
            <w:pPr>
              <w:spacing w:after="0"/>
              <w:jc w:val="center"/>
              <w:rPr>
                <w:rFonts w:ascii="Times New Roman" w:eastAsia="Times New Roman" w:hAnsi="Times New Roman"/>
                <w:color w:val="000000"/>
                <w:sz w:val="20"/>
                <w:szCs w:val="20"/>
              </w:rPr>
            </w:pPr>
          </w:p>
        </w:tc>
      </w:tr>
      <w:tr w:rsidR="006D2651" w:rsidRPr="006D2651" w14:paraId="66C815FB" w14:textId="77777777" w:rsidTr="00C34994">
        <w:trPr>
          <w:trHeight w:val="392"/>
        </w:trPr>
        <w:tc>
          <w:tcPr>
            <w:tcW w:w="1755" w:type="pct"/>
            <w:tcBorders>
              <w:top w:val="nil"/>
              <w:left w:val="single" w:sz="4" w:space="0" w:color="auto"/>
              <w:bottom w:val="single" w:sz="4" w:space="0" w:color="auto"/>
              <w:right w:val="single" w:sz="4" w:space="0" w:color="auto"/>
            </w:tcBorders>
            <w:shd w:val="clear" w:color="auto" w:fill="auto"/>
            <w:noWrap/>
            <w:vAlign w:val="center"/>
            <w:hideMark/>
          </w:tcPr>
          <w:p w14:paraId="4A1C99DC"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Normative Volumes After adjustment(MMTPA)</w:t>
            </w:r>
          </w:p>
        </w:tc>
        <w:tc>
          <w:tcPr>
            <w:tcW w:w="284" w:type="pct"/>
            <w:tcBorders>
              <w:top w:val="nil"/>
              <w:left w:val="nil"/>
              <w:bottom w:val="single" w:sz="4" w:space="0" w:color="auto"/>
              <w:right w:val="single" w:sz="4" w:space="0" w:color="auto"/>
            </w:tcBorders>
            <w:shd w:val="clear" w:color="auto" w:fill="auto"/>
            <w:noWrap/>
            <w:vAlign w:val="center"/>
            <w:hideMark/>
          </w:tcPr>
          <w:p w14:paraId="46477A2B"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8.50</w:t>
            </w:r>
          </w:p>
        </w:tc>
        <w:tc>
          <w:tcPr>
            <w:tcW w:w="284" w:type="pct"/>
            <w:tcBorders>
              <w:top w:val="nil"/>
              <w:left w:val="nil"/>
              <w:bottom w:val="single" w:sz="4" w:space="0" w:color="auto"/>
              <w:right w:val="single" w:sz="4" w:space="0" w:color="auto"/>
            </w:tcBorders>
            <w:shd w:val="clear" w:color="auto" w:fill="auto"/>
            <w:noWrap/>
            <w:vAlign w:val="center"/>
            <w:hideMark/>
          </w:tcPr>
          <w:p w14:paraId="3F269704"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8.75</w:t>
            </w:r>
          </w:p>
        </w:tc>
        <w:tc>
          <w:tcPr>
            <w:tcW w:w="284" w:type="pct"/>
            <w:tcBorders>
              <w:top w:val="nil"/>
              <w:left w:val="nil"/>
              <w:bottom w:val="single" w:sz="4" w:space="0" w:color="auto"/>
              <w:right w:val="single" w:sz="4" w:space="0" w:color="auto"/>
            </w:tcBorders>
            <w:shd w:val="clear" w:color="auto" w:fill="auto"/>
            <w:noWrap/>
            <w:vAlign w:val="center"/>
            <w:hideMark/>
          </w:tcPr>
          <w:p w14:paraId="467C54A9"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9.00</w:t>
            </w:r>
          </w:p>
        </w:tc>
        <w:tc>
          <w:tcPr>
            <w:tcW w:w="284" w:type="pct"/>
            <w:tcBorders>
              <w:top w:val="nil"/>
              <w:left w:val="nil"/>
              <w:bottom w:val="single" w:sz="4" w:space="0" w:color="auto"/>
              <w:right w:val="single" w:sz="4" w:space="0" w:color="auto"/>
            </w:tcBorders>
            <w:shd w:val="clear" w:color="auto" w:fill="auto"/>
            <w:noWrap/>
            <w:vAlign w:val="center"/>
            <w:hideMark/>
          </w:tcPr>
          <w:p w14:paraId="2AC8B9ED"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9.25</w:t>
            </w:r>
          </w:p>
        </w:tc>
        <w:tc>
          <w:tcPr>
            <w:tcW w:w="284" w:type="pct"/>
            <w:tcBorders>
              <w:top w:val="nil"/>
              <w:left w:val="nil"/>
              <w:bottom w:val="single" w:sz="4" w:space="0" w:color="auto"/>
              <w:right w:val="single" w:sz="4" w:space="0" w:color="auto"/>
            </w:tcBorders>
            <w:shd w:val="clear" w:color="auto" w:fill="auto"/>
            <w:noWrap/>
            <w:vAlign w:val="center"/>
            <w:hideMark/>
          </w:tcPr>
          <w:p w14:paraId="71918D77"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9.50</w:t>
            </w:r>
          </w:p>
        </w:tc>
        <w:tc>
          <w:tcPr>
            <w:tcW w:w="284" w:type="pct"/>
            <w:tcBorders>
              <w:top w:val="nil"/>
              <w:left w:val="nil"/>
              <w:bottom w:val="single" w:sz="4" w:space="0" w:color="auto"/>
              <w:right w:val="single" w:sz="4" w:space="0" w:color="auto"/>
            </w:tcBorders>
            <w:shd w:val="clear" w:color="auto" w:fill="auto"/>
            <w:noWrap/>
            <w:vAlign w:val="center"/>
            <w:hideMark/>
          </w:tcPr>
          <w:p w14:paraId="77ECFC4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5997E95E"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33E09B6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4AB7B476"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284" w:type="pct"/>
            <w:tcBorders>
              <w:top w:val="nil"/>
              <w:left w:val="nil"/>
              <w:bottom w:val="single" w:sz="4" w:space="0" w:color="auto"/>
              <w:right w:val="single" w:sz="4" w:space="0" w:color="auto"/>
            </w:tcBorders>
            <w:shd w:val="clear" w:color="auto" w:fill="auto"/>
            <w:noWrap/>
            <w:vAlign w:val="center"/>
            <w:hideMark/>
          </w:tcPr>
          <w:p w14:paraId="0492E31F"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7.50</w:t>
            </w:r>
          </w:p>
        </w:tc>
        <w:tc>
          <w:tcPr>
            <w:tcW w:w="403" w:type="pct"/>
            <w:tcBorders>
              <w:top w:val="nil"/>
              <w:left w:val="nil"/>
              <w:bottom w:val="single" w:sz="4" w:space="0" w:color="auto"/>
              <w:right w:val="single" w:sz="4" w:space="0" w:color="auto"/>
            </w:tcBorders>
            <w:shd w:val="clear" w:color="auto" w:fill="auto"/>
            <w:noWrap/>
            <w:vAlign w:val="center"/>
            <w:hideMark/>
          </w:tcPr>
          <w:p w14:paraId="121FBDFC" w14:textId="77777777" w:rsidR="006D2651" w:rsidRPr="006D2651" w:rsidRDefault="006D2651" w:rsidP="006D2651">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127.30</w:t>
            </w:r>
          </w:p>
        </w:tc>
      </w:tr>
    </w:tbl>
    <w:p w14:paraId="2500292F" w14:textId="77777777" w:rsidR="006D2651" w:rsidRPr="006D2651" w:rsidRDefault="006D2651" w:rsidP="006D2651">
      <w:pPr>
        <w:pStyle w:val="ListParagraph"/>
        <w:spacing w:after="0"/>
        <w:ind w:left="717"/>
        <w:jc w:val="both"/>
        <w:rPr>
          <w:rFonts w:ascii="Times New Roman" w:hAnsi="Times New Roman"/>
          <w:sz w:val="20"/>
          <w:szCs w:val="20"/>
          <w:u w:val="single"/>
        </w:rPr>
      </w:pPr>
    </w:p>
    <w:tbl>
      <w:tblPr>
        <w:tblW w:w="9923" w:type="dxa"/>
        <w:tblInd w:w="-572" w:type="dxa"/>
        <w:tblLook w:val="04A0" w:firstRow="1" w:lastRow="0" w:firstColumn="1" w:lastColumn="0" w:noHBand="0" w:noVBand="1"/>
      </w:tblPr>
      <w:tblGrid>
        <w:gridCol w:w="2676"/>
        <w:gridCol w:w="833"/>
        <w:gridCol w:w="607"/>
        <w:gridCol w:w="552"/>
        <w:gridCol w:w="833"/>
        <w:gridCol w:w="833"/>
        <w:gridCol w:w="833"/>
        <w:gridCol w:w="771"/>
        <w:gridCol w:w="749"/>
        <w:gridCol w:w="607"/>
        <w:gridCol w:w="629"/>
      </w:tblGrid>
      <w:tr w:rsidR="006D2651" w:rsidRPr="006D2651" w14:paraId="4B425FEA" w14:textId="77777777" w:rsidTr="00C34994">
        <w:trPr>
          <w:trHeight w:val="300"/>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B23D"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Adjustment</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1A908C"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Y1</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2A282227"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Y2</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60B2FD18"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A47422"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08243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61AF4B"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Y6</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268E7FE7"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Y7</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14:paraId="43CD8879"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Y8</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3EF975B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Y9</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03255BE0"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Y10</w:t>
            </w:r>
          </w:p>
        </w:tc>
      </w:tr>
      <w:tr w:rsidR="006D2651" w:rsidRPr="006D2651" w14:paraId="37834CF4"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4C666F0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Surplus (Actual Volume &gt;Normative Volume)</w:t>
            </w:r>
          </w:p>
        </w:tc>
        <w:tc>
          <w:tcPr>
            <w:tcW w:w="833" w:type="dxa"/>
            <w:tcBorders>
              <w:top w:val="nil"/>
              <w:left w:val="nil"/>
              <w:bottom w:val="single" w:sz="4" w:space="0" w:color="auto"/>
              <w:right w:val="single" w:sz="4" w:space="0" w:color="auto"/>
            </w:tcBorders>
            <w:shd w:val="clear" w:color="auto" w:fill="auto"/>
            <w:noWrap/>
            <w:vAlign w:val="bottom"/>
            <w:hideMark/>
          </w:tcPr>
          <w:p w14:paraId="10BF047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07" w:type="dxa"/>
            <w:tcBorders>
              <w:top w:val="nil"/>
              <w:left w:val="nil"/>
              <w:bottom w:val="single" w:sz="4" w:space="0" w:color="auto"/>
              <w:right w:val="single" w:sz="4" w:space="0" w:color="auto"/>
            </w:tcBorders>
            <w:shd w:val="clear" w:color="auto" w:fill="auto"/>
            <w:noWrap/>
            <w:vAlign w:val="bottom"/>
            <w:hideMark/>
          </w:tcPr>
          <w:p w14:paraId="0B1A17C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0.22</w:t>
            </w:r>
          </w:p>
        </w:tc>
        <w:tc>
          <w:tcPr>
            <w:tcW w:w="552" w:type="dxa"/>
            <w:tcBorders>
              <w:top w:val="nil"/>
              <w:left w:val="nil"/>
              <w:bottom w:val="single" w:sz="4" w:space="0" w:color="auto"/>
              <w:right w:val="single" w:sz="4" w:space="0" w:color="auto"/>
            </w:tcBorders>
            <w:shd w:val="clear" w:color="auto" w:fill="auto"/>
            <w:noWrap/>
            <w:vAlign w:val="bottom"/>
            <w:hideMark/>
          </w:tcPr>
          <w:p w14:paraId="030FE88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833" w:type="dxa"/>
            <w:tcBorders>
              <w:top w:val="nil"/>
              <w:left w:val="nil"/>
              <w:bottom w:val="single" w:sz="4" w:space="0" w:color="auto"/>
              <w:right w:val="single" w:sz="4" w:space="0" w:color="auto"/>
            </w:tcBorders>
            <w:shd w:val="clear" w:color="auto" w:fill="auto"/>
            <w:noWrap/>
            <w:vAlign w:val="bottom"/>
            <w:hideMark/>
          </w:tcPr>
          <w:p w14:paraId="1457F004"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833" w:type="dxa"/>
            <w:tcBorders>
              <w:top w:val="nil"/>
              <w:left w:val="nil"/>
              <w:bottom w:val="single" w:sz="4" w:space="0" w:color="auto"/>
              <w:right w:val="single" w:sz="4" w:space="0" w:color="auto"/>
            </w:tcBorders>
            <w:shd w:val="clear" w:color="auto" w:fill="auto"/>
            <w:noWrap/>
            <w:vAlign w:val="bottom"/>
            <w:hideMark/>
          </w:tcPr>
          <w:p w14:paraId="0C9F77B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833" w:type="dxa"/>
            <w:tcBorders>
              <w:top w:val="nil"/>
              <w:left w:val="nil"/>
              <w:bottom w:val="single" w:sz="4" w:space="0" w:color="auto"/>
              <w:right w:val="single" w:sz="4" w:space="0" w:color="auto"/>
            </w:tcBorders>
            <w:shd w:val="clear" w:color="auto" w:fill="auto"/>
            <w:noWrap/>
            <w:vAlign w:val="bottom"/>
            <w:hideMark/>
          </w:tcPr>
          <w:p w14:paraId="5CBF6830"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71" w:type="dxa"/>
            <w:tcBorders>
              <w:top w:val="nil"/>
              <w:left w:val="nil"/>
              <w:bottom w:val="single" w:sz="4" w:space="0" w:color="auto"/>
              <w:right w:val="single" w:sz="4" w:space="0" w:color="auto"/>
            </w:tcBorders>
            <w:shd w:val="clear" w:color="auto" w:fill="auto"/>
            <w:noWrap/>
            <w:vAlign w:val="bottom"/>
            <w:hideMark/>
          </w:tcPr>
          <w:p w14:paraId="360CDDB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749" w:type="dxa"/>
            <w:tcBorders>
              <w:top w:val="nil"/>
              <w:left w:val="nil"/>
              <w:bottom w:val="single" w:sz="4" w:space="0" w:color="auto"/>
              <w:right w:val="single" w:sz="4" w:space="0" w:color="auto"/>
            </w:tcBorders>
            <w:shd w:val="clear" w:color="auto" w:fill="auto"/>
            <w:noWrap/>
            <w:vAlign w:val="bottom"/>
            <w:hideMark/>
          </w:tcPr>
          <w:p w14:paraId="26A1AA7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07" w:type="dxa"/>
            <w:tcBorders>
              <w:top w:val="nil"/>
              <w:left w:val="nil"/>
              <w:bottom w:val="single" w:sz="4" w:space="0" w:color="auto"/>
              <w:right w:val="single" w:sz="4" w:space="0" w:color="auto"/>
            </w:tcBorders>
            <w:shd w:val="clear" w:color="auto" w:fill="auto"/>
            <w:noWrap/>
            <w:vAlign w:val="bottom"/>
            <w:hideMark/>
          </w:tcPr>
          <w:p w14:paraId="2316596D"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0.10 </w:t>
            </w:r>
          </w:p>
        </w:tc>
        <w:tc>
          <w:tcPr>
            <w:tcW w:w="629" w:type="dxa"/>
            <w:tcBorders>
              <w:top w:val="nil"/>
              <w:left w:val="nil"/>
              <w:bottom w:val="single" w:sz="4" w:space="0" w:color="auto"/>
              <w:right w:val="single" w:sz="4" w:space="0" w:color="auto"/>
            </w:tcBorders>
            <w:shd w:val="clear" w:color="auto" w:fill="auto"/>
            <w:noWrap/>
            <w:vAlign w:val="bottom"/>
            <w:hideMark/>
          </w:tcPr>
          <w:p w14:paraId="2B71602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0.75 </w:t>
            </w:r>
          </w:p>
        </w:tc>
      </w:tr>
      <w:tr w:rsidR="006D2651" w:rsidRPr="006D2651" w14:paraId="408E9C87"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432C05B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lastRenderedPageBreak/>
              <w:t>Deficit (Actual Volume &lt;Normative Volume)</w:t>
            </w:r>
          </w:p>
        </w:tc>
        <w:tc>
          <w:tcPr>
            <w:tcW w:w="833" w:type="dxa"/>
            <w:tcBorders>
              <w:top w:val="nil"/>
              <w:left w:val="nil"/>
              <w:bottom w:val="single" w:sz="4" w:space="0" w:color="auto"/>
              <w:right w:val="single" w:sz="4" w:space="0" w:color="auto"/>
            </w:tcBorders>
            <w:shd w:val="clear" w:color="auto" w:fill="auto"/>
            <w:noWrap/>
            <w:vAlign w:val="bottom"/>
            <w:hideMark/>
          </w:tcPr>
          <w:p w14:paraId="0AE4AFA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607" w:type="dxa"/>
            <w:tcBorders>
              <w:top w:val="nil"/>
              <w:left w:val="nil"/>
              <w:bottom w:val="single" w:sz="4" w:space="0" w:color="auto"/>
              <w:right w:val="single" w:sz="4" w:space="0" w:color="auto"/>
            </w:tcBorders>
            <w:shd w:val="clear" w:color="auto" w:fill="auto"/>
            <w:noWrap/>
            <w:vAlign w:val="bottom"/>
            <w:hideMark/>
          </w:tcPr>
          <w:p w14:paraId="02334F8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552" w:type="dxa"/>
            <w:tcBorders>
              <w:top w:val="nil"/>
              <w:left w:val="nil"/>
              <w:bottom w:val="single" w:sz="4" w:space="0" w:color="auto"/>
              <w:right w:val="single" w:sz="4" w:space="0" w:color="auto"/>
            </w:tcBorders>
            <w:shd w:val="clear" w:color="auto" w:fill="auto"/>
            <w:noWrap/>
            <w:vAlign w:val="bottom"/>
          </w:tcPr>
          <w:p w14:paraId="057F51F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p>
        </w:tc>
        <w:tc>
          <w:tcPr>
            <w:tcW w:w="833" w:type="dxa"/>
            <w:tcBorders>
              <w:top w:val="nil"/>
              <w:left w:val="nil"/>
              <w:bottom w:val="single" w:sz="4" w:space="0" w:color="auto"/>
              <w:right w:val="single" w:sz="4" w:space="0" w:color="auto"/>
            </w:tcBorders>
            <w:shd w:val="clear" w:color="auto" w:fill="auto"/>
            <w:noWrap/>
            <w:vAlign w:val="bottom"/>
            <w:hideMark/>
          </w:tcPr>
          <w:p w14:paraId="0078AC6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0.38 </w:t>
            </w:r>
          </w:p>
        </w:tc>
        <w:tc>
          <w:tcPr>
            <w:tcW w:w="833" w:type="dxa"/>
            <w:tcBorders>
              <w:top w:val="nil"/>
              <w:left w:val="nil"/>
              <w:bottom w:val="single" w:sz="4" w:space="0" w:color="auto"/>
              <w:right w:val="single" w:sz="4" w:space="0" w:color="auto"/>
            </w:tcBorders>
            <w:shd w:val="clear" w:color="auto" w:fill="auto"/>
            <w:noWrap/>
            <w:vAlign w:val="bottom"/>
            <w:hideMark/>
          </w:tcPr>
          <w:p w14:paraId="307BC2C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0.30 </w:t>
            </w:r>
          </w:p>
        </w:tc>
        <w:tc>
          <w:tcPr>
            <w:tcW w:w="833" w:type="dxa"/>
            <w:tcBorders>
              <w:top w:val="nil"/>
              <w:left w:val="nil"/>
              <w:bottom w:val="single" w:sz="4" w:space="0" w:color="auto"/>
              <w:right w:val="single" w:sz="4" w:space="0" w:color="auto"/>
            </w:tcBorders>
            <w:shd w:val="clear" w:color="auto" w:fill="auto"/>
            <w:noWrap/>
            <w:vAlign w:val="bottom"/>
            <w:hideMark/>
          </w:tcPr>
          <w:p w14:paraId="16ED3508"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71" w:type="dxa"/>
            <w:tcBorders>
              <w:top w:val="nil"/>
              <w:left w:val="nil"/>
              <w:bottom w:val="single" w:sz="4" w:space="0" w:color="auto"/>
              <w:right w:val="single" w:sz="4" w:space="0" w:color="auto"/>
            </w:tcBorders>
            <w:shd w:val="clear" w:color="auto" w:fill="auto"/>
            <w:noWrap/>
            <w:vAlign w:val="bottom"/>
            <w:hideMark/>
          </w:tcPr>
          <w:p w14:paraId="251823F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49" w:type="dxa"/>
            <w:tcBorders>
              <w:top w:val="nil"/>
              <w:left w:val="nil"/>
              <w:bottom w:val="single" w:sz="4" w:space="0" w:color="auto"/>
              <w:right w:val="single" w:sz="4" w:space="0" w:color="auto"/>
            </w:tcBorders>
            <w:shd w:val="clear" w:color="auto" w:fill="auto"/>
            <w:noWrap/>
            <w:vAlign w:val="bottom"/>
            <w:hideMark/>
          </w:tcPr>
          <w:p w14:paraId="2A28E229"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607" w:type="dxa"/>
            <w:tcBorders>
              <w:top w:val="nil"/>
              <w:left w:val="nil"/>
              <w:bottom w:val="single" w:sz="4" w:space="0" w:color="auto"/>
              <w:right w:val="single" w:sz="4" w:space="0" w:color="auto"/>
            </w:tcBorders>
            <w:shd w:val="clear" w:color="auto" w:fill="auto"/>
            <w:noWrap/>
            <w:vAlign w:val="bottom"/>
            <w:hideMark/>
          </w:tcPr>
          <w:p w14:paraId="7D7900C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29" w:type="dxa"/>
            <w:tcBorders>
              <w:top w:val="nil"/>
              <w:left w:val="nil"/>
              <w:bottom w:val="single" w:sz="4" w:space="0" w:color="auto"/>
              <w:right w:val="single" w:sz="4" w:space="0" w:color="auto"/>
            </w:tcBorders>
            <w:shd w:val="clear" w:color="auto" w:fill="auto"/>
            <w:noWrap/>
            <w:vAlign w:val="bottom"/>
            <w:hideMark/>
          </w:tcPr>
          <w:p w14:paraId="26204F4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r>
      <w:tr w:rsidR="006D2651" w:rsidRPr="006D2651" w14:paraId="4B143526" w14:textId="77777777" w:rsidTr="00C34994">
        <w:trPr>
          <w:trHeight w:val="300"/>
        </w:trPr>
        <w:tc>
          <w:tcPr>
            <w:tcW w:w="2676" w:type="dxa"/>
            <w:tcBorders>
              <w:top w:val="nil"/>
              <w:left w:val="single" w:sz="4" w:space="0" w:color="auto"/>
              <w:bottom w:val="single" w:sz="4" w:space="0" w:color="auto"/>
              <w:right w:val="single" w:sz="4" w:space="0" w:color="auto"/>
            </w:tcBorders>
            <w:shd w:val="clear" w:color="auto" w:fill="auto"/>
            <w:noWrap/>
            <w:vAlign w:val="bottom"/>
            <w:hideMark/>
          </w:tcPr>
          <w:p w14:paraId="3A17CE4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Setoff</w:t>
            </w:r>
          </w:p>
        </w:tc>
        <w:tc>
          <w:tcPr>
            <w:tcW w:w="833" w:type="dxa"/>
            <w:tcBorders>
              <w:top w:val="nil"/>
              <w:left w:val="nil"/>
              <w:bottom w:val="single" w:sz="4" w:space="0" w:color="auto"/>
              <w:right w:val="single" w:sz="4" w:space="0" w:color="auto"/>
            </w:tcBorders>
            <w:shd w:val="clear" w:color="auto" w:fill="auto"/>
            <w:noWrap/>
            <w:vAlign w:val="bottom"/>
            <w:hideMark/>
          </w:tcPr>
          <w:p w14:paraId="3E51F8A0"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607" w:type="dxa"/>
            <w:tcBorders>
              <w:top w:val="nil"/>
              <w:left w:val="nil"/>
              <w:bottom w:val="single" w:sz="4" w:space="0" w:color="auto"/>
              <w:right w:val="single" w:sz="4" w:space="0" w:color="auto"/>
            </w:tcBorders>
            <w:shd w:val="clear" w:color="auto" w:fill="auto"/>
            <w:noWrap/>
            <w:vAlign w:val="bottom"/>
            <w:hideMark/>
          </w:tcPr>
          <w:p w14:paraId="69BBE2B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552" w:type="dxa"/>
            <w:tcBorders>
              <w:top w:val="nil"/>
              <w:left w:val="nil"/>
              <w:bottom w:val="single" w:sz="4" w:space="0" w:color="auto"/>
              <w:right w:val="single" w:sz="4" w:space="0" w:color="auto"/>
            </w:tcBorders>
            <w:shd w:val="clear" w:color="auto" w:fill="auto"/>
            <w:noWrap/>
            <w:vAlign w:val="bottom"/>
            <w:hideMark/>
          </w:tcPr>
          <w:p w14:paraId="67F6A44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833" w:type="dxa"/>
            <w:tcBorders>
              <w:top w:val="nil"/>
              <w:left w:val="nil"/>
              <w:bottom w:val="single" w:sz="4" w:space="0" w:color="auto"/>
              <w:right w:val="single" w:sz="4" w:space="0" w:color="auto"/>
            </w:tcBorders>
            <w:shd w:val="clear" w:color="auto" w:fill="auto"/>
            <w:noWrap/>
            <w:vAlign w:val="bottom"/>
            <w:hideMark/>
          </w:tcPr>
          <w:p w14:paraId="7C0A4C41"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0.38 </w:t>
            </w:r>
          </w:p>
        </w:tc>
        <w:tc>
          <w:tcPr>
            <w:tcW w:w="833" w:type="dxa"/>
            <w:tcBorders>
              <w:top w:val="nil"/>
              <w:left w:val="nil"/>
              <w:bottom w:val="single" w:sz="4" w:space="0" w:color="auto"/>
              <w:right w:val="single" w:sz="4" w:space="0" w:color="auto"/>
            </w:tcBorders>
            <w:shd w:val="clear" w:color="auto" w:fill="auto"/>
            <w:noWrap/>
            <w:vAlign w:val="bottom"/>
            <w:hideMark/>
          </w:tcPr>
          <w:p w14:paraId="321C467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0.30 </w:t>
            </w:r>
          </w:p>
        </w:tc>
        <w:tc>
          <w:tcPr>
            <w:tcW w:w="833" w:type="dxa"/>
            <w:tcBorders>
              <w:top w:val="nil"/>
              <w:left w:val="nil"/>
              <w:bottom w:val="single" w:sz="4" w:space="0" w:color="auto"/>
              <w:right w:val="single" w:sz="4" w:space="0" w:color="auto"/>
            </w:tcBorders>
            <w:shd w:val="clear" w:color="auto" w:fill="auto"/>
            <w:noWrap/>
            <w:vAlign w:val="bottom"/>
            <w:hideMark/>
          </w:tcPr>
          <w:p w14:paraId="01C8DA0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71" w:type="dxa"/>
            <w:tcBorders>
              <w:top w:val="nil"/>
              <w:left w:val="nil"/>
              <w:bottom w:val="single" w:sz="4" w:space="0" w:color="auto"/>
              <w:right w:val="single" w:sz="4" w:space="0" w:color="auto"/>
            </w:tcBorders>
            <w:shd w:val="clear" w:color="auto" w:fill="auto"/>
            <w:noWrap/>
            <w:vAlign w:val="bottom"/>
            <w:hideMark/>
          </w:tcPr>
          <w:p w14:paraId="1161870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0.05 </w:t>
            </w:r>
          </w:p>
        </w:tc>
        <w:tc>
          <w:tcPr>
            <w:tcW w:w="749" w:type="dxa"/>
            <w:tcBorders>
              <w:top w:val="nil"/>
              <w:left w:val="nil"/>
              <w:bottom w:val="single" w:sz="4" w:space="0" w:color="auto"/>
              <w:right w:val="single" w:sz="4" w:space="0" w:color="auto"/>
            </w:tcBorders>
            <w:shd w:val="clear" w:color="auto" w:fill="auto"/>
            <w:noWrap/>
            <w:vAlign w:val="bottom"/>
            <w:hideMark/>
          </w:tcPr>
          <w:p w14:paraId="6586DA4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0.25 </w:t>
            </w:r>
          </w:p>
        </w:tc>
        <w:tc>
          <w:tcPr>
            <w:tcW w:w="607" w:type="dxa"/>
            <w:tcBorders>
              <w:top w:val="nil"/>
              <w:left w:val="nil"/>
              <w:bottom w:val="single" w:sz="4" w:space="0" w:color="auto"/>
              <w:right w:val="single" w:sz="4" w:space="0" w:color="auto"/>
            </w:tcBorders>
            <w:shd w:val="clear" w:color="auto" w:fill="auto"/>
            <w:noWrap/>
            <w:vAlign w:val="bottom"/>
            <w:hideMark/>
          </w:tcPr>
          <w:p w14:paraId="01701356"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629" w:type="dxa"/>
            <w:tcBorders>
              <w:top w:val="nil"/>
              <w:left w:val="nil"/>
              <w:bottom w:val="single" w:sz="4" w:space="0" w:color="auto"/>
              <w:right w:val="single" w:sz="4" w:space="0" w:color="auto"/>
            </w:tcBorders>
            <w:shd w:val="clear" w:color="auto" w:fill="auto"/>
            <w:noWrap/>
            <w:vAlign w:val="bottom"/>
            <w:hideMark/>
          </w:tcPr>
          <w:p w14:paraId="43A2794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r>
    </w:tbl>
    <w:p w14:paraId="6147BE41" w14:textId="082EC568" w:rsidR="006D2651" w:rsidRDefault="006D2651" w:rsidP="006D2651">
      <w:pPr>
        <w:pStyle w:val="ListParagraph"/>
        <w:spacing w:after="0"/>
        <w:ind w:left="717"/>
        <w:jc w:val="both"/>
        <w:rPr>
          <w:rFonts w:ascii="Times New Roman" w:hAnsi="Times New Roman"/>
          <w:sz w:val="20"/>
          <w:szCs w:val="20"/>
          <w:u w:val="single"/>
        </w:rPr>
      </w:pPr>
    </w:p>
    <w:p w14:paraId="0557E20E" w14:textId="5EF95490" w:rsidR="00C34994" w:rsidRDefault="00C34994" w:rsidP="006D2651">
      <w:pPr>
        <w:pStyle w:val="ListParagraph"/>
        <w:spacing w:after="0"/>
        <w:ind w:left="717"/>
        <w:jc w:val="both"/>
        <w:rPr>
          <w:rFonts w:ascii="Times New Roman" w:hAnsi="Times New Roman"/>
          <w:sz w:val="20"/>
          <w:szCs w:val="20"/>
          <w:u w:val="single"/>
        </w:rPr>
      </w:pPr>
    </w:p>
    <w:p w14:paraId="1E2DF1DB" w14:textId="5B39B736" w:rsidR="00C34994" w:rsidRDefault="00C34994" w:rsidP="006D2651">
      <w:pPr>
        <w:pStyle w:val="ListParagraph"/>
        <w:spacing w:after="0"/>
        <w:ind w:left="717"/>
        <w:jc w:val="both"/>
        <w:rPr>
          <w:rFonts w:ascii="Times New Roman" w:hAnsi="Times New Roman"/>
          <w:sz w:val="20"/>
          <w:szCs w:val="20"/>
          <w:u w:val="single"/>
        </w:rPr>
      </w:pPr>
    </w:p>
    <w:p w14:paraId="503679B8" w14:textId="5566DA64" w:rsidR="00C34994" w:rsidRDefault="00C34994" w:rsidP="006D2651">
      <w:pPr>
        <w:pStyle w:val="ListParagraph"/>
        <w:spacing w:after="0"/>
        <w:ind w:left="717"/>
        <w:jc w:val="both"/>
        <w:rPr>
          <w:rFonts w:ascii="Times New Roman" w:hAnsi="Times New Roman"/>
          <w:sz w:val="20"/>
          <w:szCs w:val="20"/>
          <w:u w:val="single"/>
        </w:rPr>
      </w:pPr>
    </w:p>
    <w:p w14:paraId="65D51893" w14:textId="77777777" w:rsidR="00C34994" w:rsidRPr="006D2651" w:rsidRDefault="00C34994" w:rsidP="006D2651">
      <w:pPr>
        <w:pStyle w:val="ListParagraph"/>
        <w:spacing w:after="0"/>
        <w:ind w:left="717"/>
        <w:jc w:val="both"/>
        <w:rPr>
          <w:rFonts w:ascii="Times New Roman" w:hAnsi="Times New Roman"/>
          <w:sz w:val="20"/>
          <w:szCs w:val="20"/>
          <w:u w:val="single"/>
        </w:rPr>
      </w:pPr>
    </w:p>
    <w:tbl>
      <w:tblPr>
        <w:tblW w:w="9782" w:type="dxa"/>
        <w:tblInd w:w="-431" w:type="dxa"/>
        <w:tblLook w:val="04A0" w:firstRow="1" w:lastRow="0" w:firstColumn="1" w:lastColumn="0" w:noHBand="0" w:noVBand="1"/>
      </w:tblPr>
      <w:tblGrid>
        <w:gridCol w:w="2535"/>
        <w:gridCol w:w="766"/>
        <w:gridCol w:w="960"/>
        <w:gridCol w:w="960"/>
        <w:gridCol w:w="960"/>
        <w:gridCol w:w="960"/>
        <w:gridCol w:w="2641"/>
      </w:tblGrid>
      <w:tr w:rsidR="006D2651" w:rsidRPr="006D2651" w14:paraId="0B8E5704" w14:textId="77777777" w:rsidTr="00C34994">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AC072"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eastAsia="en-IN" w:bidi="hi-IN"/>
              </w:rPr>
              <w:t>Adjustment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6C95A06A"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37FBE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C73D8F"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9167B9"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44F6B5"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Y15</w:t>
            </w:r>
          </w:p>
        </w:tc>
        <w:tc>
          <w:tcPr>
            <w:tcW w:w="2641" w:type="dxa"/>
            <w:tcBorders>
              <w:top w:val="single" w:sz="4" w:space="0" w:color="auto"/>
              <w:left w:val="nil"/>
              <w:bottom w:val="single" w:sz="4" w:space="0" w:color="auto"/>
              <w:right w:val="single" w:sz="4" w:space="0" w:color="auto"/>
            </w:tcBorders>
            <w:shd w:val="clear" w:color="auto" w:fill="auto"/>
            <w:noWrap/>
            <w:vAlign w:val="bottom"/>
            <w:hideMark/>
          </w:tcPr>
          <w:p w14:paraId="70B930B4" w14:textId="77777777" w:rsidR="006D2651" w:rsidRPr="006D2651" w:rsidRDefault="006D2651" w:rsidP="006D2651">
            <w:pPr>
              <w:spacing w:after="0"/>
              <w:rPr>
                <w:rFonts w:ascii="Times New Roman" w:eastAsia="Times New Roman" w:hAnsi="Times New Roman"/>
                <w:b/>
                <w:bCs/>
                <w:color w:val="000000"/>
                <w:sz w:val="20"/>
                <w:szCs w:val="20"/>
                <w:lang w:val="en-IN" w:eastAsia="en-IN" w:bidi="hi-IN"/>
              </w:rPr>
            </w:pPr>
            <w:r w:rsidRPr="006D2651">
              <w:rPr>
                <w:rFonts w:ascii="Times New Roman" w:eastAsia="Times New Roman" w:hAnsi="Times New Roman"/>
                <w:b/>
                <w:bCs/>
                <w:color w:val="000000"/>
                <w:sz w:val="20"/>
                <w:szCs w:val="20"/>
                <w:lang w:val="en-IN" w:eastAsia="en-IN" w:bidi="hi-IN"/>
              </w:rPr>
              <w:t>TOTAL</w:t>
            </w:r>
          </w:p>
        </w:tc>
      </w:tr>
      <w:tr w:rsidR="006D2651" w:rsidRPr="006D2651" w14:paraId="1117DAB4" w14:textId="77777777" w:rsidTr="00C34994">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EACEC6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Surplus (Actual Volume &gt;Normative Volume)</w:t>
            </w:r>
          </w:p>
        </w:tc>
        <w:tc>
          <w:tcPr>
            <w:tcW w:w="766" w:type="dxa"/>
            <w:tcBorders>
              <w:top w:val="nil"/>
              <w:left w:val="nil"/>
              <w:bottom w:val="single" w:sz="4" w:space="0" w:color="auto"/>
              <w:right w:val="single" w:sz="4" w:space="0" w:color="auto"/>
            </w:tcBorders>
            <w:shd w:val="clear" w:color="auto" w:fill="auto"/>
            <w:noWrap/>
            <w:vAlign w:val="bottom"/>
            <w:hideMark/>
          </w:tcPr>
          <w:p w14:paraId="7AF6DF5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14:paraId="6BE42E54"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1.25 </w:t>
            </w:r>
          </w:p>
        </w:tc>
        <w:tc>
          <w:tcPr>
            <w:tcW w:w="960" w:type="dxa"/>
            <w:tcBorders>
              <w:top w:val="nil"/>
              <w:left w:val="nil"/>
              <w:bottom w:val="single" w:sz="4" w:space="0" w:color="auto"/>
              <w:right w:val="single" w:sz="4" w:space="0" w:color="auto"/>
            </w:tcBorders>
            <w:shd w:val="clear" w:color="auto" w:fill="auto"/>
            <w:noWrap/>
            <w:vAlign w:val="bottom"/>
            <w:hideMark/>
          </w:tcPr>
          <w:p w14:paraId="2BD23F3B"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1.50 </w:t>
            </w:r>
          </w:p>
        </w:tc>
        <w:tc>
          <w:tcPr>
            <w:tcW w:w="960" w:type="dxa"/>
            <w:tcBorders>
              <w:top w:val="nil"/>
              <w:left w:val="nil"/>
              <w:bottom w:val="single" w:sz="4" w:space="0" w:color="auto"/>
              <w:right w:val="single" w:sz="4" w:space="0" w:color="auto"/>
            </w:tcBorders>
            <w:shd w:val="clear" w:color="auto" w:fill="auto"/>
            <w:noWrap/>
            <w:vAlign w:val="bottom"/>
            <w:hideMark/>
          </w:tcPr>
          <w:p w14:paraId="3BD097D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1.75 </w:t>
            </w:r>
          </w:p>
        </w:tc>
        <w:tc>
          <w:tcPr>
            <w:tcW w:w="960" w:type="dxa"/>
            <w:tcBorders>
              <w:top w:val="nil"/>
              <w:left w:val="nil"/>
              <w:bottom w:val="single" w:sz="4" w:space="0" w:color="auto"/>
              <w:right w:val="single" w:sz="4" w:space="0" w:color="auto"/>
            </w:tcBorders>
            <w:shd w:val="clear" w:color="auto" w:fill="auto"/>
            <w:noWrap/>
            <w:vAlign w:val="bottom"/>
            <w:hideMark/>
          </w:tcPr>
          <w:p w14:paraId="4C5F0CE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2.00 </w:t>
            </w:r>
          </w:p>
        </w:tc>
        <w:tc>
          <w:tcPr>
            <w:tcW w:w="2641" w:type="dxa"/>
            <w:tcBorders>
              <w:top w:val="nil"/>
              <w:left w:val="nil"/>
              <w:bottom w:val="single" w:sz="4" w:space="0" w:color="auto"/>
              <w:right w:val="single" w:sz="4" w:space="0" w:color="auto"/>
            </w:tcBorders>
            <w:shd w:val="clear" w:color="auto" w:fill="auto"/>
            <w:noWrap/>
            <w:vAlign w:val="bottom"/>
            <w:hideMark/>
          </w:tcPr>
          <w:p w14:paraId="757E8095"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8.57 </w:t>
            </w:r>
          </w:p>
        </w:tc>
      </w:tr>
      <w:tr w:rsidR="006D2651" w:rsidRPr="006D2651" w14:paraId="7C9452B2" w14:textId="77777777" w:rsidTr="00C34994">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B2DE78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Deficit (Actual Volume &lt;Normative Volume)</w:t>
            </w:r>
          </w:p>
        </w:tc>
        <w:tc>
          <w:tcPr>
            <w:tcW w:w="766" w:type="dxa"/>
            <w:tcBorders>
              <w:top w:val="nil"/>
              <w:left w:val="nil"/>
              <w:bottom w:val="single" w:sz="4" w:space="0" w:color="auto"/>
              <w:right w:val="single" w:sz="4" w:space="0" w:color="auto"/>
            </w:tcBorders>
            <w:shd w:val="clear" w:color="auto" w:fill="auto"/>
            <w:noWrap/>
            <w:vAlign w:val="bottom"/>
            <w:hideMark/>
          </w:tcPr>
          <w:p w14:paraId="0B192D5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FEC6A7E"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0BBE5D76"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1142ABF"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DB8A1AD"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2641" w:type="dxa"/>
            <w:tcBorders>
              <w:top w:val="nil"/>
              <w:left w:val="nil"/>
              <w:bottom w:val="single" w:sz="4" w:space="0" w:color="auto"/>
              <w:right w:val="single" w:sz="4" w:space="0" w:color="auto"/>
            </w:tcBorders>
            <w:shd w:val="clear" w:color="auto" w:fill="auto"/>
            <w:noWrap/>
            <w:vAlign w:val="bottom"/>
            <w:hideMark/>
          </w:tcPr>
          <w:p w14:paraId="4F1F3DD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1.28 </w:t>
            </w:r>
          </w:p>
        </w:tc>
      </w:tr>
      <w:tr w:rsidR="006D2651" w:rsidRPr="006D2651" w14:paraId="4B3F54AF" w14:textId="77777777" w:rsidTr="00C34994">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1355E9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Setoff</w:t>
            </w:r>
          </w:p>
        </w:tc>
        <w:tc>
          <w:tcPr>
            <w:tcW w:w="766" w:type="dxa"/>
            <w:tcBorders>
              <w:top w:val="nil"/>
              <w:left w:val="nil"/>
              <w:bottom w:val="single" w:sz="4" w:space="0" w:color="auto"/>
              <w:right w:val="single" w:sz="4" w:space="0" w:color="auto"/>
            </w:tcBorders>
            <w:shd w:val="clear" w:color="auto" w:fill="auto"/>
            <w:noWrap/>
            <w:vAlign w:val="bottom"/>
            <w:hideMark/>
          </w:tcPr>
          <w:p w14:paraId="577A9E4C"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617A27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3C0E622"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A496897"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D3E3236"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w:t>
            </w:r>
          </w:p>
        </w:tc>
        <w:tc>
          <w:tcPr>
            <w:tcW w:w="2641" w:type="dxa"/>
            <w:tcBorders>
              <w:top w:val="nil"/>
              <w:left w:val="nil"/>
              <w:bottom w:val="single" w:sz="4" w:space="0" w:color="auto"/>
              <w:right w:val="single" w:sz="4" w:space="0" w:color="auto"/>
            </w:tcBorders>
            <w:shd w:val="clear" w:color="auto" w:fill="auto"/>
            <w:noWrap/>
            <w:vAlign w:val="bottom"/>
            <w:hideMark/>
          </w:tcPr>
          <w:p w14:paraId="461914CA" w14:textId="77777777" w:rsidR="006D2651" w:rsidRPr="006D2651" w:rsidRDefault="006D2651" w:rsidP="006D2651">
            <w:pPr>
              <w:spacing w:after="0"/>
              <w:rPr>
                <w:rFonts w:ascii="Times New Roman" w:eastAsia="Times New Roman" w:hAnsi="Times New Roman"/>
                <w:color w:val="000000"/>
                <w:sz w:val="20"/>
                <w:szCs w:val="20"/>
                <w:lang w:val="en-IN" w:eastAsia="en-IN" w:bidi="hi-IN"/>
              </w:rPr>
            </w:pPr>
            <w:r w:rsidRPr="006D2651">
              <w:rPr>
                <w:rFonts w:ascii="Times New Roman" w:eastAsia="Times New Roman" w:hAnsi="Times New Roman"/>
                <w:color w:val="000000"/>
                <w:sz w:val="20"/>
                <w:szCs w:val="20"/>
                <w:lang w:val="en-IN" w:eastAsia="en-IN" w:bidi="hi-IN"/>
              </w:rPr>
              <w:t xml:space="preserve">1.28 </w:t>
            </w:r>
          </w:p>
        </w:tc>
      </w:tr>
    </w:tbl>
    <w:p w14:paraId="57A0AC78" w14:textId="77777777" w:rsidR="006D2651" w:rsidRPr="00C34994" w:rsidRDefault="006D2651" w:rsidP="006D2651">
      <w:pPr>
        <w:pStyle w:val="ListParagraph"/>
        <w:spacing w:after="0"/>
        <w:ind w:left="717"/>
        <w:jc w:val="both"/>
        <w:rPr>
          <w:rFonts w:ascii="Times New Roman" w:hAnsi="Times New Roman"/>
          <w:sz w:val="2"/>
          <w:szCs w:val="2"/>
          <w:u w:val="single"/>
        </w:rPr>
      </w:pPr>
    </w:p>
    <w:p w14:paraId="54DA3F88" w14:textId="77777777" w:rsidR="006D2651" w:rsidRDefault="006D2651" w:rsidP="006D2651">
      <w:pPr>
        <w:pStyle w:val="ListParagraph"/>
        <w:spacing w:after="160"/>
        <w:ind w:left="717"/>
        <w:jc w:val="both"/>
        <w:rPr>
          <w:rFonts w:ascii="Times New Roman" w:hAnsi="Times New Roman"/>
          <w:sz w:val="20"/>
          <w:szCs w:val="20"/>
          <w:u w:val="single"/>
        </w:rPr>
      </w:pPr>
    </w:p>
    <w:p w14:paraId="4A054AD7" w14:textId="4C6EE1D3" w:rsidR="006D2651" w:rsidRPr="006D2651" w:rsidRDefault="006D2651" w:rsidP="006D2651">
      <w:pPr>
        <w:pStyle w:val="ListParagraph"/>
        <w:spacing w:after="160"/>
        <w:ind w:left="717"/>
        <w:jc w:val="both"/>
        <w:rPr>
          <w:rFonts w:ascii="Times New Roman" w:hAnsi="Times New Roman"/>
          <w:sz w:val="20"/>
          <w:szCs w:val="20"/>
          <w:u w:val="single"/>
        </w:rPr>
      </w:pPr>
      <w:r w:rsidRPr="006D2651">
        <w:rPr>
          <w:rFonts w:ascii="Times New Roman" w:hAnsi="Times New Roman"/>
          <w:sz w:val="20"/>
          <w:szCs w:val="20"/>
          <w:u w:val="single"/>
        </w:rPr>
        <w:t>Notes:</w:t>
      </w:r>
    </w:p>
    <w:p w14:paraId="4814EC60" w14:textId="77777777" w:rsidR="006D2651" w:rsidRPr="006D2651" w:rsidRDefault="006D2651" w:rsidP="006D2651">
      <w:pPr>
        <w:pStyle w:val="ListParagraph"/>
        <w:numPr>
          <w:ilvl w:val="0"/>
          <w:numId w:val="10"/>
        </w:numPr>
        <w:spacing w:after="160"/>
        <w:ind w:left="1437"/>
        <w:jc w:val="both"/>
        <w:rPr>
          <w:rFonts w:ascii="Times New Roman" w:hAnsi="Times New Roman"/>
          <w:sz w:val="20"/>
          <w:szCs w:val="20"/>
        </w:rPr>
      </w:pPr>
      <w:r w:rsidRPr="006D2651">
        <w:rPr>
          <w:rFonts w:ascii="Times New Roman" w:hAnsi="Times New Roman"/>
          <w:sz w:val="20"/>
          <w:szCs w:val="20"/>
        </w:rPr>
        <w:t>Set Off Credit Volumes is the difference between actual volumes higher than normative volumes</w:t>
      </w:r>
    </w:p>
    <w:p w14:paraId="65BD09A5" w14:textId="77777777" w:rsidR="006D2651" w:rsidRPr="006D2651" w:rsidRDefault="006D2651" w:rsidP="006D2651">
      <w:pPr>
        <w:pStyle w:val="ListParagraph"/>
        <w:numPr>
          <w:ilvl w:val="0"/>
          <w:numId w:val="10"/>
        </w:numPr>
        <w:spacing w:after="160"/>
        <w:ind w:left="1437"/>
        <w:jc w:val="both"/>
        <w:rPr>
          <w:rFonts w:ascii="Times New Roman" w:hAnsi="Times New Roman"/>
          <w:sz w:val="20"/>
          <w:szCs w:val="20"/>
        </w:rPr>
      </w:pPr>
      <w:r w:rsidRPr="006D2651">
        <w:rPr>
          <w:rFonts w:ascii="Times New Roman" w:hAnsi="Times New Roman"/>
          <w:sz w:val="20"/>
          <w:szCs w:val="20"/>
        </w:rPr>
        <w:t>Volume adjustment shall be done subject to maximum of cumulative Set Off credit volumes. Volume adjustment in any year cannot be more than difference in actual volume lower than normative volume.</w:t>
      </w:r>
    </w:p>
    <w:p w14:paraId="2027F8ED" w14:textId="77777777" w:rsidR="006D2651" w:rsidRPr="006D2651" w:rsidRDefault="006D2651" w:rsidP="006D2651">
      <w:pPr>
        <w:pStyle w:val="ListParagraph"/>
        <w:numPr>
          <w:ilvl w:val="0"/>
          <w:numId w:val="10"/>
        </w:numPr>
        <w:spacing w:after="160"/>
        <w:ind w:left="1437"/>
        <w:jc w:val="both"/>
        <w:rPr>
          <w:rFonts w:ascii="Times New Roman" w:hAnsi="Times New Roman"/>
          <w:sz w:val="20"/>
          <w:szCs w:val="20"/>
        </w:rPr>
      </w:pPr>
      <w:r w:rsidRPr="006D2651">
        <w:rPr>
          <w:rFonts w:ascii="Times New Roman" w:hAnsi="Times New Roman"/>
          <w:sz w:val="20"/>
          <w:szCs w:val="20"/>
        </w:rPr>
        <w:t>Volume adjustment shall be allowed in such a way that volumes considered for tariff shall not be lower than the cumulative normative volumes on prospective basis over the economic life.</w:t>
      </w:r>
    </w:p>
    <w:p w14:paraId="38856AD9" w14:textId="77777777" w:rsidR="006D2651" w:rsidRPr="006D2651" w:rsidRDefault="006D2651" w:rsidP="006D2651">
      <w:pPr>
        <w:pStyle w:val="ListParagraph"/>
        <w:numPr>
          <w:ilvl w:val="0"/>
          <w:numId w:val="10"/>
        </w:numPr>
        <w:spacing w:after="160"/>
        <w:ind w:left="1437"/>
        <w:jc w:val="both"/>
        <w:rPr>
          <w:rFonts w:ascii="Times New Roman" w:hAnsi="Times New Roman"/>
          <w:sz w:val="20"/>
          <w:szCs w:val="20"/>
        </w:rPr>
      </w:pPr>
      <w:r w:rsidRPr="006D2651">
        <w:rPr>
          <w:rFonts w:ascii="Times New Roman" w:hAnsi="Times New Roman"/>
          <w:sz w:val="20"/>
          <w:szCs w:val="20"/>
        </w:rPr>
        <w:t>Such volume adjustment shall be allowed on FIFO basis.</w:t>
      </w:r>
    </w:p>
    <w:p w14:paraId="7160DCFF" w14:textId="77777777" w:rsidR="006D2651" w:rsidRPr="006D2651" w:rsidRDefault="006D2651" w:rsidP="006D2651">
      <w:pPr>
        <w:pStyle w:val="ListParagraph"/>
        <w:numPr>
          <w:ilvl w:val="0"/>
          <w:numId w:val="10"/>
        </w:numPr>
        <w:spacing w:after="0"/>
        <w:ind w:left="1431" w:hanging="357"/>
        <w:contextualSpacing w:val="0"/>
        <w:jc w:val="both"/>
        <w:rPr>
          <w:rFonts w:ascii="Times New Roman" w:hAnsi="Times New Roman"/>
          <w:sz w:val="20"/>
          <w:szCs w:val="20"/>
        </w:rPr>
      </w:pPr>
      <w:r w:rsidRPr="006D2651">
        <w:rPr>
          <w:rFonts w:ascii="Times New Roman" w:hAnsi="Times New Roman"/>
          <w:sz w:val="20"/>
          <w:szCs w:val="20"/>
        </w:rPr>
        <w:t>At the end of the economic life, if any set off credit of volumes is available, it will lapse.</w:t>
      </w:r>
    </w:p>
    <w:p w14:paraId="583981A3" w14:textId="310CCE41" w:rsidR="0099442F" w:rsidRDefault="006D2651" w:rsidP="0099442F">
      <w:pPr>
        <w:pStyle w:val="ListParagraph"/>
        <w:numPr>
          <w:ilvl w:val="0"/>
          <w:numId w:val="10"/>
        </w:numPr>
        <w:spacing w:after="160"/>
        <w:ind w:left="1431" w:hanging="357"/>
        <w:contextualSpacing w:val="0"/>
        <w:jc w:val="both"/>
        <w:rPr>
          <w:rFonts w:ascii="Times New Roman" w:hAnsi="Times New Roman"/>
          <w:sz w:val="20"/>
          <w:szCs w:val="20"/>
        </w:rPr>
      </w:pPr>
      <w:r w:rsidRPr="006D2651">
        <w:rPr>
          <w:rFonts w:ascii="Times New Roman" w:hAnsi="Times New Roman"/>
          <w:sz w:val="20"/>
          <w:szCs w:val="20"/>
        </w:rPr>
        <w:t xml:space="preserve">In respect to petroleum and petroleum products pipeline listed at sub-regulation (1) or sub-regulation (3) of regulation 5, volume adjustment shall be applicable for the period from the date on which its transportation tariff is determined under Schedule-B. No adjustment or set off of Volumes shall be allowed for the period prior to that. </w:t>
      </w:r>
    </w:p>
    <w:p w14:paraId="52FA1C00" w14:textId="66FC4A16" w:rsidR="00C90AAE" w:rsidRPr="00C34994" w:rsidRDefault="00C90AAE" w:rsidP="00C90AAE">
      <w:pPr>
        <w:pStyle w:val="ListParagraph"/>
        <w:spacing w:after="160"/>
        <w:ind w:left="1431"/>
        <w:contextualSpacing w:val="0"/>
        <w:jc w:val="both"/>
        <w:rPr>
          <w:rFonts w:ascii="Times New Roman" w:hAnsi="Times New Roman"/>
          <w:sz w:val="2"/>
          <w:szCs w:val="2"/>
        </w:rPr>
      </w:pPr>
    </w:p>
    <w:p w14:paraId="419DAB5A"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Economic Life</w:t>
      </w:r>
    </w:p>
    <w:p w14:paraId="58C384E5" w14:textId="77777777" w:rsidR="006D2651" w:rsidRPr="006D2651" w:rsidRDefault="006D2651" w:rsidP="006D2651">
      <w:pPr>
        <w:pStyle w:val="ListParagraph"/>
        <w:spacing w:after="100"/>
        <w:ind w:left="357"/>
        <w:contextualSpacing w:val="0"/>
        <w:jc w:val="both"/>
        <w:rPr>
          <w:rFonts w:ascii="Times New Roman" w:hAnsi="Times New Roman"/>
          <w:sz w:val="20"/>
          <w:szCs w:val="20"/>
        </w:rPr>
      </w:pPr>
      <w:r w:rsidRPr="006D2651">
        <w:rPr>
          <w:rFonts w:ascii="Times New Roman" w:hAnsi="Times New Roman"/>
          <w:sz w:val="20"/>
          <w:szCs w:val="20"/>
        </w:rPr>
        <w:t>The economic life of the petroleum and petroleum product pipeline shall be as specified in the Petroleum and Natural Gas Regulatory Board (Authorizing Entities to Lay, Build, Operate or Expand Petroleum and Petroleum Products Pipelines) Regulations, 2010.</w:t>
      </w:r>
    </w:p>
    <w:p w14:paraId="5FCE1FEE" w14:textId="77777777" w:rsidR="006D2651" w:rsidRPr="006D2651" w:rsidRDefault="006D2651" w:rsidP="006D2651">
      <w:pPr>
        <w:pStyle w:val="ListParagraph"/>
        <w:spacing w:after="100"/>
        <w:ind w:left="357"/>
        <w:contextualSpacing w:val="0"/>
        <w:jc w:val="both"/>
        <w:rPr>
          <w:rFonts w:ascii="Times New Roman" w:hAnsi="Times New Roman"/>
          <w:sz w:val="20"/>
          <w:szCs w:val="20"/>
        </w:rPr>
      </w:pPr>
      <w:r w:rsidRPr="006D2651">
        <w:rPr>
          <w:rFonts w:ascii="Times New Roman" w:hAnsi="Times New Roman"/>
          <w:sz w:val="20"/>
          <w:szCs w:val="20"/>
        </w:rPr>
        <w:t>Notwithstanding anything contained in any regulations made under the Act, any replacement of the pipeline, in excess of five per cent of the length of the pipeline including spur-lines and tie-in lines, before the completion of the economic life, shall not be considered for tariff determination if approval of the Board has not been obtained by the entity for such replacement.</w:t>
      </w:r>
    </w:p>
    <w:p w14:paraId="01ABC608"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bCs/>
          <w:sz w:val="20"/>
          <w:szCs w:val="20"/>
        </w:rPr>
      </w:pPr>
      <w:r w:rsidRPr="006D2651">
        <w:rPr>
          <w:rFonts w:ascii="Times New Roman" w:hAnsi="Times New Roman"/>
          <w:b/>
          <w:bCs/>
          <w:sz w:val="20"/>
          <w:szCs w:val="20"/>
        </w:rPr>
        <w:t xml:space="preserve">Procedure for calculating unit petroleum and petroleum products pipeline tariff </w:t>
      </w:r>
    </w:p>
    <w:p w14:paraId="35D8C8D8" w14:textId="77777777" w:rsidR="006D2651" w:rsidRPr="006D2651" w:rsidRDefault="006D2651" w:rsidP="006D2651">
      <w:pPr>
        <w:pStyle w:val="ListParagraph"/>
        <w:widowControl w:val="0"/>
        <w:numPr>
          <w:ilvl w:val="0"/>
          <w:numId w:val="18"/>
        </w:numPr>
        <w:autoSpaceDE w:val="0"/>
        <w:autoSpaceDN w:val="0"/>
        <w:adjustRightInd w:val="0"/>
        <w:spacing w:before="240" w:after="80"/>
        <w:ind w:left="714" w:right="108" w:hanging="357"/>
        <w:contextualSpacing w:val="0"/>
        <w:jc w:val="both"/>
        <w:rPr>
          <w:rFonts w:ascii="Times New Roman" w:hAnsi="Times New Roman"/>
          <w:sz w:val="20"/>
          <w:szCs w:val="20"/>
        </w:rPr>
      </w:pPr>
      <w:r w:rsidRPr="006D2651">
        <w:rPr>
          <w:rFonts w:ascii="Times New Roman" w:hAnsi="Times New Roman"/>
          <w:sz w:val="20"/>
          <w:szCs w:val="20"/>
        </w:rPr>
        <w:t xml:space="preserve">Prior </w:t>
      </w:r>
      <w:r w:rsidRPr="006D2651">
        <w:rPr>
          <w:rFonts w:ascii="Times New Roman" w:hAnsi="Times New Roman"/>
          <w:spacing w:val="3"/>
          <w:sz w:val="20"/>
          <w:szCs w:val="20"/>
        </w:rPr>
        <w:t>to</w:t>
      </w:r>
      <w:r w:rsidRPr="006D2651">
        <w:rPr>
          <w:rFonts w:ascii="Times New Roman" w:hAnsi="Times New Roman"/>
          <w:sz w:val="20"/>
          <w:szCs w:val="20"/>
        </w:rPr>
        <w:t xml:space="preserve"> determination </w:t>
      </w:r>
      <w:r w:rsidRPr="006D2651">
        <w:rPr>
          <w:rFonts w:ascii="Times New Roman" w:hAnsi="Times New Roman"/>
          <w:spacing w:val="12"/>
          <w:sz w:val="20"/>
          <w:szCs w:val="20"/>
        </w:rPr>
        <w:t>of</w:t>
      </w:r>
      <w:r w:rsidRPr="006D2651">
        <w:rPr>
          <w:rFonts w:ascii="Times New Roman" w:hAnsi="Times New Roman"/>
          <w:sz w:val="20"/>
          <w:szCs w:val="20"/>
        </w:rPr>
        <w:t xml:space="preserve"> the </w:t>
      </w:r>
      <w:r w:rsidRPr="006D2651">
        <w:rPr>
          <w:rFonts w:ascii="Times New Roman" w:hAnsi="Times New Roman"/>
          <w:bCs/>
          <w:sz w:val="20"/>
          <w:szCs w:val="20"/>
        </w:rPr>
        <w:t xml:space="preserve">petroleum and petroleum products </w:t>
      </w:r>
      <w:r w:rsidRPr="006D2651">
        <w:rPr>
          <w:rFonts w:ascii="Times New Roman" w:hAnsi="Times New Roman"/>
          <w:sz w:val="20"/>
          <w:szCs w:val="20"/>
        </w:rPr>
        <w:t>pipeline tarif</w:t>
      </w:r>
      <w:r w:rsidRPr="006D2651">
        <w:rPr>
          <w:rFonts w:ascii="Times New Roman" w:hAnsi="Times New Roman"/>
          <w:spacing w:val="-1"/>
          <w:sz w:val="20"/>
          <w:szCs w:val="20"/>
        </w:rPr>
        <w:t>f</w:t>
      </w:r>
      <w:r w:rsidRPr="006D2651">
        <w:rPr>
          <w:rFonts w:ascii="Times New Roman" w:hAnsi="Times New Roman"/>
          <w:sz w:val="20"/>
          <w:szCs w:val="20"/>
        </w:rPr>
        <w:t xml:space="preserve">, </w:t>
      </w:r>
      <w:r w:rsidRPr="006D2651">
        <w:rPr>
          <w:rFonts w:ascii="Times New Roman" w:hAnsi="Times New Roman"/>
          <w:w w:val="101"/>
          <w:sz w:val="20"/>
          <w:szCs w:val="20"/>
        </w:rPr>
        <w:t xml:space="preserve">the </w:t>
      </w:r>
      <w:r w:rsidRPr="006D2651">
        <w:rPr>
          <w:rFonts w:ascii="Times New Roman" w:hAnsi="Times New Roman"/>
          <w:sz w:val="20"/>
          <w:szCs w:val="20"/>
        </w:rPr>
        <w:t>Board shall iss</w:t>
      </w:r>
      <w:r w:rsidRPr="006D2651">
        <w:rPr>
          <w:rFonts w:ascii="Times New Roman" w:hAnsi="Times New Roman"/>
          <w:spacing w:val="2"/>
          <w:sz w:val="20"/>
          <w:szCs w:val="20"/>
        </w:rPr>
        <w:t>u</w:t>
      </w:r>
      <w:r w:rsidRPr="006D2651">
        <w:rPr>
          <w:rFonts w:ascii="Times New Roman" w:hAnsi="Times New Roman"/>
          <w:sz w:val="20"/>
          <w:szCs w:val="20"/>
        </w:rPr>
        <w:t>e a p</w:t>
      </w:r>
      <w:r w:rsidRPr="006D2651">
        <w:rPr>
          <w:rFonts w:ascii="Times New Roman" w:hAnsi="Times New Roman"/>
          <w:spacing w:val="2"/>
          <w:sz w:val="20"/>
          <w:szCs w:val="20"/>
        </w:rPr>
        <w:t>u</w:t>
      </w:r>
      <w:r w:rsidRPr="006D2651">
        <w:rPr>
          <w:rFonts w:ascii="Times New Roman" w:hAnsi="Times New Roman"/>
          <w:sz w:val="20"/>
          <w:szCs w:val="20"/>
        </w:rPr>
        <w:t>blic notice on its we</w:t>
      </w:r>
      <w:r w:rsidRPr="006D2651">
        <w:rPr>
          <w:rFonts w:ascii="Times New Roman" w:hAnsi="Times New Roman"/>
          <w:spacing w:val="2"/>
          <w:sz w:val="20"/>
          <w:szCs w:val="20"/>
        </w:rPr>
        <w:t>b</w:t>
      </w:r>
      <w:r w:rsidRPr="006D2651">
        <w:rPr>
          <w:rFonts w:ascii="Times New Roman" w:hAnsi="Times New Roman"/>
          <w:sz w:val="20"/>
          <w:szCs w:val="20"/>
        </w:rPr>
        <w:t>site co</w:t>
      </w:r>
      <w:r w:rsidRPr="006D2651">
        <w:rPr>
          <w:rFonts w:ascii="Times New Roman" w:hAnsi="Times New Roman"/>
          <w:spacing w:val="2"/>
          <w:sz w:val="20"/>
          <w:szCs w:val="20"/>
        </w:rPr>
        <w:t>n</w:t>
      </w:r>
      <w:r w:rsidRPr="006D2651">
        <w:rPr>
          <w:rFonts w:ascii="Times New Roman" w:hAnsi="Times New Roman"/>
          <w:sz w:val="20"/>
          <w:szCs w:val="20"/>
        </w:rPr>
        <w:t xml:space="preserve">taining </w:t>
      </w:r>
      <w:r w:rsidRPr="006D2651">
        <w:rPr>
          <w:rFonts w:ascii="Times New Roman" w:hAnsi="Times New Roman"/>
          <w:w w:val="101"/>
          <w:sz w:val="20"/>
          <w:szCs w:val="20"/>
        </w:rPr>
        <w:t xml:space="preserve">a </w:t>
      </w:r>
      <w:r w:rsidRPr="006D2651">
        <w:rPr>
          <w:rFonts w:ascii="Times New Roman" w:hAnsi="Times New Roman"/>
          <w:sz w:val="20"/>
          <w:szCs w:val="20"/>
        </w:rPr>
        <w:t>public consultation document p</w:t>
      </w:r>
      <w:r w:rsidRPr="006D2651">
        <w:rPr>
          <w:rFonts w:ascii="Times New Roman" w:hAnsi="Times New Roman"/>
          <w:spacing w:val="-1"/>
          <w:sz w:val="20"/>
          <w:szCs w:val="20"/>
        </w:rPr>
        <w:t>r</w:t>
      </w:r>
      <w:r w:rsidRPr="006D2651">
        <w:rPr>
          <w:rFonts w:ascii="Times New Roman" w:hAnsi="Times New Roman"/>
          <w:sz w:val="20"/>
          <w:szCs w:val="20"/>
        </w:rPr>
        <w:t xml:space="preserve">oviding an opportunity </w:t>
      </w:r>
      <w:r w:rsidRPr="006D2651">
        <w:rPr>
          <w:rFonts w:ascii="Times New Roman" w:hAnsi="Times New Roman"/>
          <w:spacing w:val="-1"/>
          <w:w w:val="101"/>
          <w:sz w:val="20"/>
          <w:szCs w:val="20"/>
        </w:rPr>
        <w:t>t</w:t>
      </w:r>
      <w:r w:rsidRPr="006D2651">
        <w:rPr>
          <w:rFonts w:ascii="Times New Roman" w:hAnsi="Times New Roman"/>
          <w:w w:val="101"/>
          <w:sz w:val="20"/>
          <w:szCs w:val="20"/>
        </w:rPr>
        <w:t xml:space="preserve">o </w:t>
      </w:r>
      <w:r w:rsidRPr="006D2651">
        <w:rPr>
          <w:rFonts w:ascii="Times New Roman" w:hAnsi="Times New Roman"/>
          <w:sz w:val="20"/>
          <w:szCs w:val="20"/>
        </w:rPr>
        <w:t>stakeholders (including the entity concerned) to parti</w:t>
      </w:r>
      <w:r w:rsidRPr="006D2651">
        <w:rPr>
          <w:rFonts w:ascii="Times New Roman" w:hAnsi="Times New Roman"/>
          <w:spacing w:val="-2"/>
          <w:sz w:val="20"/>
          <w:szCs w:val="20"/>
        </w:rPr>
        <w:t>c</w:t>
      </w:r>
      <w:r w:rsidRPr="006D2651">
        <w:rPr>
          <w:rFonts w:ascii="Times New Roman" w:hAnsi="Times New Roman"/>
          <w:sz w:val="20"/>
          <w:szCs w:val="20"/>
        </w:rPr>
        <w:t xml:space="preserve">ipate </w:t>
      </w:r>
      <w:r w:rsidRPr="006D2651">
        <w:rPr>
          <w:rFonts w:ascii="Times New Roman" w:hAnsi="Times New Roman"/>
          <w:w w:val="101"/>
          <w:sz w:val="20"/>
          <w:szCs w:val="20"/>
        </w:rPr>
        <w:t xml:space="preserve">in </w:t>
      </w:r>
      <w:r w:rsidRPr="006D2651">
        <w:rPr>
          <w:rFonts w:ascii="Times New Roman" w:hAnsi="Times New Roman"/>
          <w:sz w:val="20"/>
          <w:szCs w:val="20"/>
        </w:rPr>
        <w:t>t</w:t>
      </w:r>
      <w:r w:rsidRPr="006D2651">
        <w:rPr>
          <w:rFonts w:ascii="Times New Roman" w:hAnsi="Times New Roman"/>
          <w:spacing w:val="2"/>
          <w:sz w:val="20"/>
          <w:szCs w:val="20"/>
        </w:rPr>
        <w:t>h</w:t>
      </w:r>
      <w:r w:rsidRPr="006D2651">
        <w:rPr>
          <w:rFonts w:ascii="Times New Roman" w:hAnsi="Times New Roman"/>
          <w:sz w:val="20"/>
          <w:szCs w:val="20"/>
        </w:rPr>
        <w:t xml:space="preserve">e determination of the petroleum and petroleum products pipeline </w:t>
      </w:r>
      <w:r w:rsidRPr="006D2651">
        <w:rPr>
          <w:rFonts w:ascii="Times New Roman" w:hAnsi="Times New Roman"/>
          <w:w w:val="101"/>
          <w:sz w:val="20"/>
          <w:szCs w:val="20"/>
        </w:rPr>
        <w:t>tariff.</w:t>
      </w:r>
    </w:p>
    <w:p w14:paraId="589DD931" w14:textId="77777777" w:rsidR="006D2651" w:rsidRPr="006D2651" w:rsidRDefault="006D2651" w:rsidP="006D2651">
      <w:pPr>
        <w:pStyle w:val="ListParagraph"/>
        <w:widowControl w:val="0"/>
        <w:numPr>
          <w:ilvl w:val="0"/>
          <w:numId w:val="18"/>
        </w:numPr>
        <w:autoSpaceDE w:val="0"/>
        <w:autoSpaceDN w:val="0"/>
        <w:adjustRightInd w:val="0"/>
        <w:spacing w:after="80"/>
        <w:ind w:left="714" w:right="108" w:hanging="357"/>
        <w:contextualSpacing w:val="0"/>
        <w:jc w:val="both"/>
        <w:rPr>
          <w:rFonts w:ascii="Times New Roman" w:hAnsi="Times New Roman"/>
          <w:sz w:val="20"/>
          <w:szCs w:val="20"/>
        </w:rPr>
      </w:pPr>
      <w:r w:rsidRPr="006D2651">
        <w:rPr>
          <w:rFonts w:ascii="Times New Roman" w:hAnsi="Times New Roman"/>
          <w:sz w:val="20"/>
          <w:szCs w:val="20"/>
        </w:rPr>
        <w:t>Stakeholders (including the entity concerned) may submit their comments in writing within fifteen days from the date of webhosting of the public notice.</w:t>
      </w:r>
    </w:p>
    <w:p w14:paraId="3AA20BA9" w14:textId="77777777" w:rsidR="006D2651" w:rsidRPr="006D2651" w:rsidRDefault="006D2651" w:rsidP="006D2651">
      <w:pPr>
        <w:pStyle w:val="ListParagraph"/>
        <w:widowControl w:val="0"/>
        <w:numPr>
          <w:ilvl w:val="0"/>
          <w:numId w:val="18"/>
        </w:numPr>
        <w:autoSpaceDE w:val="0"/>
        <w:autoSpaceDN w:val="0"/>
        <w:adjustRightInd w:val="0"/>
        <w:spacing w:after="80"/>
        <w:ind w:left="714" w:right="108" w:hanging="357"/>
        <w:contextualSpacing w:val="0"/>
        <w:jc w:val="both"/>
        <w:rPr>
          <w:rFonts w:ascii="Times New Roman" w:hAnsi="Times New Roman"/>
          <w:sz w:val="20"/>
          <w:szCs w:val="20"/>
        </w:rPr>
      </w:pPr>
      <w:r w:rsidRPr="006D2651">
        <w:rPr>
          <w:rFonts w:ascii="Times New Roman" w:hAnsi="Times New Roman"/>
          <w:sz w:val="20"/>
          <w:szCs w:val="20"/>
        </w:rPr>
        <w:t xml:space="preserve">On the expiry of the period provided for stakeholder comments as referred to in sub-regulation (2), the Board shall forward the comments received to the entity concerned for it to submit its response within fifteen days of the receipt thereof. </w:t>
      </w:r>
    </w:p>
    <w:p w14:paraId="75A62A95" w14:textId="77777777" w:rsidR="006D2651" w:rsidRPr="006D2651" w:rsidRDefault="006D2651" w:rsidP="006D2651">
      <w:pPr>
        <w:pStyle w:val="ListParagraph"/>
        <w:numPr>
          <w:ilvl w:val="0"/>
          <w:numId w:val="18"/>
        </w:numPr>
        <w:spacing w:after="80"/>
        <w:contextualSpacing w:val="0"/>
        <w:jc w:val="both"/>
        <w:rPr>
          <w:rFonts w:ascii="Times New Roman" w:hAnsi="Times New Roman"/>
          <w:sz w:val="20"/>
          <w:szCs w:val="20"/>
        </w:rPr>
      </w:pPr>
      <w:r w:rsidRPr="006D2651">
        <w:rPr>
          <w:rFonts w:ascii="Times New Roman" w:hAnsi="Times New Roman"/>
          <w:sz w:val="20"/>
          <w:szCs w:val="20"/>
        </w:rPr>
        <w:lastRenderedPageBreak/>
        <w:t xml:space="preserve">The Board may, if it deems necessary, convene an open house meeting, inviting inter-alia the stakeholders who have submitted their comments and the authorized entity concerned for discussions. </w:t>
      </w:r>
    </w:p>
    <w:p w14:paraId="16AC7A64" w14:textId="4F23B453" w:rsidR="006D2651" w:rsidRDefault="006D2651" w:rsidP="006D2651">
      <w:pPr>
        <w:pStyle w:val="ListParagraph"/>
        <w:numPr>
          <w:ilvl w:val="0"/>
          <w:numId w:val="18"/>
        </w:numPr>
        <w:spacing w:after="80"/>
        <w:contextualSpacing w:val="0"/>
        <w:jc w:val="both"/>
        <w:rPr>
          <w:rFonts w:ascii="Times New Roman" w:hAnsi="Times New Roman"/>
          <w:sz w:val="20"/>
          <w:szCs w:val="20"/>
        </w:rPr>
      </w:pPr>
      <w:r w:rsidRPr="006D2651">
        <w:rPr>
          <w:rFonts w:ascii="Times New Roman" w:hAnsi="Times New Roman"/>
          <w:sz w:val="20"/>
          <w:szCs w:val="20"/>
        </w:rPr>
        <w:t>The Board shall after completing the aforesaid procedure and considering all the inputs so collected, determine, by order, the transportation tariff for the petroleum and petroleum products pipeline and publish the same on its website.</w:t>
      </w:r>
    </w:p>
    <w:p w14:paraId="27C9B5F0" w14:textId="77CAECB4" w:rsidR="00C34994" w:rsidRDefault="00C34994" w:rsidP="00C34994">
      <w:pPr>
        <w:spacing w:after="80"/>
        <w:jc w:val="both"/>
        <w:rPr>
          <w:rFonts w:ascii="Times New Roman" w:hAnsi="Times New Roman"/>
          <w:sz w:val="20"/>
          <w:szCs w:val="20"/>
        </w:rPr>
      </w:pPr>
    </w:p>
    <w:p w14:paraId="3EE7BC1D" w14:textId="05AA0B47" w:rsidR="00C34994" w:rsidRDefault="00C34994" w:rsidP="00C34994">
      <w:pPr>
        <w:spacing w:after="80"/>
        <w:jc w:val="both"/>
        <w:rPr>
          <w:rFonts w:ascii="Times New Roman" w:hAnsi="Times New Roman"/>
          <w:sz w:val="20"/>
          <w:szCs w:val="20"/>
        </w:rPr>
      </w:pPr>
    </w:p>
    <w:p w14:paraId="677F458F" w14:textId="26D30DC4" w:rsidR="00C34994" w:rsidRDefault="00C34994" w:rsidP="00C34994">
      <w:pPr>
        <w:spacing w:after="80"/>
        <w:jc w:val="both"/>
        <w:rPr>
          <w:rFonts w:ascii="Times New Roman" w:hAnsi="Times New Roman"/>
          <w:sz w:val="20"/>
          <w:szCs w:val="20"/>
        </w:rPr>
      </w:pPr>
    </w:p>
    <w:p w14:paraId="09C3E276" w14:textId="77777777" w:rsidR="00C34994" w:rsidRPr="00C34994" w:rsidRDefault="00C34994" w:rsidP="00C34994">
      <w:pPr>
        <w:spacing w:after="80"/>
        <w:jc w:val="both"/>
        <w:rPr>
          <w:rFonts w:ascii="Times New Roman" w:hAnsi="Times New Roman"/>
          <w:sz w:val="20"/>
          <w:szCs w:val="20"/>
        </w:rPr>
      </w:pPr>
    </w:p>
    <w:p w14:paraId="71E01450" w14:textId="77777777" w:rsidR="006D2651" w:rsidRPr="006D2651" w:rsidRDefault="006D2651" w:rsidP="006D2651">
      <w:pPr>
        <w:pStyle w:val="ListParagraph"/>
        <w:numPr>
          <w:ilvl w:val="0"/>
          <w:numId w:val="4"/>
        </w:numPr>
        <w:ind w:left="357" w:hanging="357"/>
        <w:contextualSpacing w:val="0"/>
        <w:jc w:val="both"/>
        <w:rPr>
          <w:rFonts w:ascii="Times New Roman" w:hAnsi="Times New Roman"/>
          <w:b/>
          <w:sz w:val="20"/>
          <w:szCs w:val="20"/>
        </w:rPr>
      </w:pPr>
      <w:r w:rsidRPr="006D2651">
        <w:rPr>
          <w:rFonts w:ascii="Times New Roman" w:hAnsi="Times New Roman"/>
          <w:b/>
          <w:sz w:val="20"/>
          <w:szCs w:val="20"/>
        </w:rPr>
        <w:t>Determination of petroleum and petroleum products pipeline tariff</w:t>
      </w:r>
    </w:p>
    <w:p w14:paraId="3C782491"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The entity shall submit for Board’s approval the data for determination of the unit petroleum and petroleum products pipeline tariff from the date on which these regulations come into force in the form and time frame specified under regulation 5 along-with the provisional computations of the unit petroleum and petroleum products pipeline tariff;</w:t>
      </w:r>
    </w:p>
    <w:p w14:paraId="681FB0E8"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 xml:space="preserve">The unit </w:t>
      </w:r>
      <w:r w:rsidRPr="006D2651">
        <w:rPr>
          <w:rFonts w:ascii="Times New Roman" w:hAnsi="Times New Roman"/>
          <w:bCs/>
          <w:sz w:val="20"/>
          <w:szCs w:val="20"/>
        </w:rPr>
        <w:t>petroleum and petroleum products pipeline</w:t>
      </w:r>
      <w:r w:rsidRPr="006D2651">
        <w:rPr>
          <w:rFonts w:ascii="Times New Roman" w:hAnsi="Times New Roman"/>
          <w:sz w:val="20"/>
          <w:szCs w:val="20"/>
        </w:rPr>
        <w:t xml:space="preserve"> tariff shall be determined for the </w:t>
      </w:r>
      <w:r w:rsidRPr="006D2651">
        <w:rPr>
          <w:rFonts w:ascii="Times New Roman" w:hAnsi="Times New Roman"/>
          <w:bCs/>
          <w:sz w:val="20"/>
          <w:szCs w:val="20"/>
        </w:rPr>
        <w:t>petroleum and petroleum products pipeline</w:t>
      </w:r>
      <w:r w:rsidRPr="006D2651">
        <w:rPr>
          <w:rFonts w:ascii="Times New Roman" w:hAnsi="Times New Roman"/>
          <w:sz w:val="20"/>
          <w:szCs w:val="20"/>
        </w:rPr>
        <w:t xml:space="preserve"> over its economic life and levelized during-</w:t>
      </w:r>
    </w:p>
    <w:p w14:paraId="22D29324" w14:textId="77777777" w:rsidR="006D2651" w:rsidRPr="006D2651" w:rsidRDefault="006D2651" w:rsidP="006D2651">
      <w:pPr>
        <w:numPr>
          <w:ilvl w:val="0"/>
          <w:numId w:val="13"/>
        </w:numPr>
        <w:spacing w:after="80"/>
        <w:ind w:left="1440" w:hanging="357"/>
        <w:jc w:val="both"/>
        <w:rPr>
          <w:rFonts w:ascii="Times New Roman" w:hAnsi="Times New Roman"/>
          <w:sz w:val="20"/>
          <w:szCs w:val="20"/>
        </w:rPr>
      </w:pPr>
      <w:r w:rsidRPr="006D2651">
        <w:rPr>
          <w:rFonts w:ascii="Times New Roman" w:hAnsi="Times New Roman"/>
          <w:sz w:val="20"/>
          <w:szCs w:val="20"/>
        </w:rPr>
        <w:t xml:space="preserve">the period applicable for the initial unit </w:t>
      </w:r>
      <w:r w:rsidRPr="006D2651">
        <w:rPr>
          <w:rFonts w:ascii="Times New Roman" w:hAnsi="Times New Roman"/>
          <w:bCs/>
          <w:sz w:val="20"/>
          <w:szCs w:val="20"/>
        </w:rPr>
        <w:t>petroleum and petroleum products pipeline</w:t>
      </w:r>
      <w:r w:rsidRPr="006D2651">
        <w:rPr>
          <w:rFonts w:ascii="Times New Roman" w:hAnsi="Times New Roman"/>
          <w:sz w:val="20"/>
          <w:szCs w:val="20"/>
        </w:rPr>
        <w:t xml:space="preserve"> tariff;</w:t>
      </w:r>
    </w:p>
    <w:p w14:paraId="0363A446" w14:textId="77777777" w:rsidR="006D2651" w:rsidRPr="006D2651" w:rsidRDefault="006D2651" w:rsidP="006D2651">
      <w:pPr>
        <w:numPr>
          <w:ilvl w:val="0"/>
          <w:numId w:val="13"/>
        </w:numPr>
        <w:spacing w:after="80"/>
        <w:ind w:left="1440" w:hanging="357"/>
        <w:jc w:val="both"/>
        <w:rPr>
          <w:rFonts w:ascii="Times New Roman" w:hAnsi="Times New Roman"/>
          <w:sz w:val="20"/>
          <w:szCs w:val="20"/>
        </w:rPr>
      </w:pPr>
      <w:r w:rsidRPr="006D2651">
        <w:rPr>
          <w:rFonts w:ascii="Times New Roman" w:hAnsi="Times New Roman"/>
          <w:sz w:val="20"/>
          <w:szCs w:val="20"/>
        </w:rPr>
        <w:t xml:space="preserve">the period of five consecutive years after the end of the initial unit </w:t>
      </w:r>
      <w:r w:rsidRPr="006D2651">
        <w:rPr>
          <w:rFonts w:ascii="Times New Roman" w:hAnsi="Times New Roman"/>
          <w:bCs/>
          <w:sz w:val="20"/>
          <w:szCs w:val="20"/>
        </w:rPr>
        <w:t>petroleum and petroleum products pipeline</w:t>
      </w:r>
      <w:r w:rsidRPr="006D2651">
        <w:rPr>
          <w:rFonts w:ascii="Times New Roman" w:hAnsi="Times New Roman"/>
          <w:sz w:val="20"/>
          <w:szCs w:val="20"/>
        </w:rPr>
        <w:t xml:space="preserve"> tariff; and</w:t>
      </w:r>
    </w:p>
    <w:p w14:paraId="20A1BCE4" w14:textId="77777777" w:rsidR="006D2651" w:rsidRPr="006D2651" w:rsidRDefault="006D2651" w:rsidP="006D2651">
      <w:pPr>
        <w:numPr>
          <w:ilvl w:val="0"/>
          <w:numId w:val="13"/>
        </w:numPr>
        <w:spacing w:after="0"/>
        <w:ind w:left="1440" w:hanging="357"/>
        <w:jc w:val="both"/>
        <w:rPr>
          <w:rFonts w:ascii="Times New Roman" w:hAnsi="Times New Roman"/>
          <w:sz w:val="20"/>
          <w:szCs w:val="20"/>
        </w:rPr>
      </w:pPr>
      <w:r w:rsidRPr="006D2651">
        <w:rPr>
          <w:rFonts w:ascii="Times New Roman" w:hAnsi="Times New Roman"/>
          <w:sz w:val="20"/>
          <w:szCs w:val="20"/>
        </w:rPr>
        <w:t>the period between any two consecutive tariff reviews.</w:t>
      </w:r>
    </w:p>
    <w:p w14:paraId="77D837CA" w14:textId="77777777" w:rsidR="006D2651" w:rsidRPr="006D2651" w:rsidRDefault="006D2651" w:rsidP="006D2651">
      <w:pPr>
        <w:spacing w:after="0"/>
        <w:ind w:left="811"/>
        <w:jc w:val="both"/>
        <w:rPr>
          <w:rFonts w:ascii="Times New Roman" w:hAnsi="Times New Roman"/>
          <w:sz w:val="20"/>
          <w:szCs w:val="20"/>
        </w:rPr>
      </w:pPr>
    </w:p>
    <w:p w14:paraId="3CE12CBB"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 xml:space="preserve">The initial unit petroleum and petroleum products pipeline tariff as specified under sub-clause (2) shall apply for the period </w:t>
      </w:r>
      <w:proofErr w:type="spellStart"/>
      <w:r w:rsidRPr="006D2651">
        <w:rPr>
          <w:rFonts w:ascii="Times New Roman" w:hAnsi="Times New Roman"/>
          <w:sz w:val="20"/>
          <w:szCs w:val="20"/>
        </w:rPr>
        <w:t>upto</w:t>
      </w:r>
      <w:proofErr w:type="spellEnd"/>
      <w:r w:rsidRPr="006D2651">
        <w:rPr>
          <w:rFonts w:ascii="Times New Roman" w:hAnsi="Times New Roman"/>
          <w:sz w:val="20"/>
          <w:szCs w:val="20"/>
        </w:rPr>
        <w:t xml:space="preserve"> the first tariff review until the time the same is revised by the Board;</w:t>
      </w:r>
    </w:p>
    <w:p w14:paraId="257DCE96"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 xml:space="preserve">The entity shall submit computation of the unit petroleum and petroleum products pipeline tariff in the form specified under regulation 6 at the time of each tariff review within three months of the – </w:t>
      </w:r>
    </w:p>
    <w:p w14:paraId="666B235C" w14:textId="77777777" w:rsidR="006D2651" w:rsidRPr="006D2651" w:rsidRDefault="006D2651" w:rsidP="006D2651">
      <w:pPr>
        <w:pStyle w:val="ListParagraph"/>
        <w:numPr>
          <w:ilvl w:val="0"/>
          <w:numId w:val="19"/>
        </w:numPr>
        <w:spacing w:after="80"/>
        <w:jc w:val="both"/>
        <w:rPr>
          <w:rFonts w:ascii="Times New Roman" w:hAnsi="Times New Roman"/>
          <w:sz w:val="20"/>
          <w:szCs w:val="20"/>
        </w:rPr>
      </w:pPr>
      <w:r w:rsidRPr="006D2651">
        <w:rPr>
          <w:rFonts w:ascii="Times New Roman" w:hAnsi="Times New Roman"/>
          <w:sz w:val="20"/>
          <w:szCs w:val="20"/>
        </w:rPr>
        <w:t>end of the last year of the five consecutive years after the initial unit petroleum and petroleum products pipeline tariff; or</w:t>
      </w:r>
    </w:p>
    <w:p w14:paraId="37387C94" w14:textId="77777777" w:rsidR="006D2651" w:rsidRPr="006D2651" w:rsidRDefault="006D2651" w:rsidP="006D2651">
      <w:pPr>
        <w:pStyle w:val="ListParagraph"/>
        <w:numPr>
          <w:ilvl w:val="0"/>
          <w:numId w:val="19"/>
        </w:numPr>
        <w:spacing w:after="80"/>
        <w:jc w:val="both"/>
        <w:rPr>
          <w:rFonts w:ascii="Times New Roman" w:hAnsi="Times New Roman"/>
          <w:sz w:val="20"/>
          <w:szCs w:val="20"/>
        </w:rPr>
      </w:pPr>
      <w:r w:rsidRPr="006D2651">
        <w:rPr>
          <w:rFonts w:ascii="Times New Roman" w:hAnsi="Times New Roman"/>
          <w:sz w:val="20"/>
          <w:szCs w:val="20"/>
        </w:rPr>
        <w:t>end of the preceding tariff review period:</w:t>
      </w:r>
    </w:p>
    <w:p w14:paraId="0D1012C9" w14:textId="20581D77" w:rsidR="006D2651" w:rsidRDefault="006D2651" w:rsidP="006D2651">
      <w:pPr>
        <w:spacing w:after="80"/>
        <w:ind w:left="720"/>
        <w:jc w:val="both"/>
        <w:rPr>
          <w:rFonts w:ascii="Times New Roman" w:hAnsi="Times New Roman"/>
          <w:sz w:val="20"/>
          <w:szCs w:val="20"/>
        </w:rPr>
      </w:pPr>
      <w:r w:rsidRPr="006D2651">
        <w:rPr>
          <w:rFonts w:ascii="Times New Roman" w:hAnsi="Times New Roman"/>
          <w:sz w:val="20"/>
          <w:szCs w:val="20"/>
        </w:rPr>
        <w:t>Provided that the computation shall consider the actual cost, financial and operational data or that normatively assessed by the Board, whichever is lesser in respect of the period specified under sub-clause (a) or (b) as the case may be.</w:t>
      </w:r>
    </w:p>
    <w:p w14:paraId="4AAA62C2" w14:textId="0A91B19C" w:rsidR="0099442F" w:rsidRPr="00C34994" w:rsidRDefault="0099442F" w:rsidP="006D2651">
      <w:pPr>
        <w:spacing w:after="80"/>
        <w:ind w:left="720"/>
        <w:jc w:val="both"/>
        <w:rPr>
          <w:rFonts w:ascii="Times New Roman" w:hAnsi="Times New Roman"/>
          <w:sz w:val="2"/>
          <w:szCs w:val="2"/>
        </w:rPr>
      </w:pPr>
    </w:p>
    <w:p w14:paraId="3CAD5467"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The adjustment on account of variation in the initial unit petroleum and petroleum products pipeline tariff and tariff determined under tariff review shall be made in the DCF calculations and the derived tariff shall be charged from the customers on prospective basis till next review, that is, the tariff shall be applicable from the first day of the month, following the month, in which the tariff order is issued by the Board.</w:t>
      </w:r>
    </w:p>
    <w:p w14:paraId="608BD3C6"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Adjustments on account of the variations with respect to actuals in the capital, operating costs and volumes during the five consecutive years after the initial unit petroleum and petroleum products pipeline tariff or any tariff review shall be made in the DCF calculations in respective years as required.</w:t>
      </w:r>
    </w:p>
    <w:p w14:paraId="6F484365"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The Board may, either on its own or on the entity’s request, carry out a review of the unit petroleum and petroleum products pipeline tariff any time between two tariff reviews, as the case may be, considering-</w:t>
      </w:r>
    </w:p>
    <w:p w14:paraId="424E6C2F" w14:textId="77777777" w:rsidR="006D2651" w:rsidRPr="006D2651" w:rsidRDefault="006D2651" w:rsidP="006D2651">
      <w:pPr>
        <w:pStyle w:val="ListParagraph"/>
        <w:numPr>
          <w:ilvl w:val="0"/>
          <w:numId w:val="20"/>
        </w:numPr>
        <w:spacing w:after="80"/>
        <w:jc w:val="both"/>
        <w:rPr>
          <w:rFonts w:ascii="Times New Roman" w:hAnsi="Times New Roman"/>
          <w:sz w:val="20"/>
          <w:szCs w:val="20"/>
        </w:rPr>
      </w:pPr>
      <w:r w:rsidRPr="006D2651">
        <w:rPr>
          <w:rFonts w:ascii="Times New Roman" w:hAnsi="Times New Roman"/>
          <w:sz w:val="20"/>
          <w:szCs w:val="20"/>
        </w:rPr>
        <w:t>applicable nominal rate of income tax used for grossing-up the rate of return on capital employed;</w:t>
      </w:r>
    </w:p>
    <w:p w14:paraId="55990F87" w14:textId="77777777" w:rsidR="006D2651" w:rsidRPr="006D2651" w:rsidRDefault="006D2651" w:rsidP="006D2651">
      <w:pPr>
        <w:pStyle w:val="ListParagraph"/>
        <w:numPr>
          <w:ilvl w:val="0"/>
          <w:numId w:val="20"/>
        </w:numPr>
        <w:spacing w:after="80"/>
        <w:jc w:val="both"/>
        <w:rPr>
          <w:rFonts w:ascii="Times New Roman" w:hAnsi="Times New Roman"/>
          <w:sz w:val="20"/>
          <w:szCs w:val="20"/>
        </w:rPr>
      </w:pPr>
      <w:r w:rsidRPr="006D2651">
        <w:rPr>
          <w:rFonts w:ascii="Times New Roman" w:hAnsi="Times New Roman"/>
          <w:sz w:val="20"/>
          <w:szCs w:val="20"/>
        </w:rPr>
        <w:t>sudden change in any parameter used in the determination of the unit petroleum and petroleum products pipeline tariff.</w:t>
      </w:r>
    </w:p>
    <w:p w14:paraId="6BF5A0AE" w14:textId="77777777" w:rsidR="006D2651" w:rsidRPr="006D2651" w:rsidRDefault="006D2651" w:rsidP="006D2651">
      <w:pPr>
        <w:numPr>
          <w:ilvl w:val="0"/>
          <w:numId w:val="12"/>
        </w:numPr>
        <w:spacing w:after="80"/>
        <w:ind w:left="810" w:hanging="357"/>
        <w:jc w:val="both"/>
        <w:rPr>
          <w:rFonts w:ascii="Times New Roman" w:hAnsi="Times New Roman"/>
          <w:sz w:val="20"/>
          <w:szCs w:val="20"/>
        </w:rPr>
      </w:pPr>
      <w:r w:rsidRPr="006D2651">
        <w:rPr>
          <w:rFonts w:ascii="Times New Roman" w:hAnsi="Times New Roman"/>
          <w:sz w:val="20"/>
          <w:szCs w:val="20"/>
        </w:rPr>
        <w:t xml:space="preserve">The initial unit petroleum and petroleum products pipeline tariff, unit petroleum and petroleum products pipeline tariff for the period of five consecutive financial years after the initial unit petroleum and petroleum </w:t>
      </w:r>
      <w:r w:rsidRPr="006D2651">
        <w:rPr>
          <w:rFonts w:ascii="Times New Roman" w:hAnsi="Times New Roman"/>
          <w:sz w:val="20"/>
          <w:szCs w:val="20"/>
        </w:rPr>
        <w:lastRenderedPageBreak/>
        <w:t>products pipeline tariff and the unit petroleum and petroleum products pipeline tariff fixed after any tariff review thereafter shall continue to apply till the time the same is revised by the Board.</w:t>
      </w:r>
    </w:p>
    <w:p w14:paraId="5C235F5A" w14:textId="2C58971D" w:rsidR="006D2651" w:rsidRPr="006D2651" w:rsidRDefault="006D2651" w:rsidP="0099442F">
      <w:pPr>
        <w:pStyle w:val="ListParagraph"/>
        <w:ind w:left="357"/>
        <w:contextualSpacing w:val="0"/>
        <w:jc w:val="both"/>
        <w:rPr>
          <w:rFonts w:ascii="Times New Roman" w:hAnsi="Times New Roman"/>
          <w:sz w:val="20"/>
          <w:szCs w:val="20"/>
        </w:rPr>
      </w:pPr>
      <w:r w:rsidRPr="006D2651">
        <w:rPr>
          <w:rFonts w:ascii="Times New Roman" w:hAnsi="Times New Roman"/>
          <w:sz w:val="20"/>
          <w:szCs w:val="20"/>
        </w:rPr>
        <w:t>An Illustration of DCF calculations is give</w:t>
      </w:r>
      <w:r w:rsidR="0099442F">
        <w:rPr>
          <w:rFonts w:ascii="Times New Roman" w:hAnsi="Times New Roman"/>
          <w:sz w:val="20"/>
          <w:szCs w:val="20"/>
        </w:rPr>
        <w:t>n at Attachment-3 to Schedule-B</w:t>
      </w:r>
    </w:p>
    <w:p w14:paraId="78E4A440" w14:textId="77777777" w:rsidR="00C34994" w:rsidRDefault="00C34994" w:rsidP="006D2651">
      <w:pPr>
        <w:jc w:val="center"/>
        <w:rPr>
          <w:rFonts w:ascii="Times New Roman" w:hAnsi="Times New Roman"/>
          <w:b/>
          <w:bCs/>
          <w:sz w:val="20"/>
          <w:szCs w:val="20"/>
        </w:rPr>
      </w:pPr>
    </w:p>
    <w:p w14:paraId="72BD3FC5" w14:textId="77777777" w:rsidR="00C34994" w:rsidRDefault="00C34994" w:rsidP="006D2651">
      <w:pPr>
        <w:jc w:val="center"/>
        <w:rPr>
          <w:rFonts w:ascii="Times New Roman" w:hAnsi="Times New Roman"/>
          <w:b/>
          <w:bCs/>
          <w:sz w:val="20"/>
          <w:szCs w:val="20"/>
        </w:rPr>
      </w:pPr>
    </w:p>
    <w:p w14:paraId="2EB4B020" w14:textId="77777777" w:rsidR="00C34994" w:rsidRDefault="00C34994" w:rsidP="006D2651">
      <w:pPr>
        <w:jc w:val="center"/>
        <w:rPr>
          <w:rFonts w:ascii="Times New Roman" w:hAnsi="Times New Roman"/>
          <w:b/>
          <w:bCs/>
          <w:sz w:val="20"/>
          <w:szCs w:val="20"/>
        </w:rPr>
      </w:pPr>
    </w:p>
    <w:p w14:paraId="16EA0503" w14:textId="77777777" w:rsidR="00C34994" w:rsidRDefault="00C34994" w:rsidP="006D2651">
      <w:pPr>
        <w:jc w:val="center"/>
        <w:rPr>
          <w:rFonts w:ascii="Times New Roman" w:hAnsi="Times New Roman"/>
          <w:b/>
          <w:bCs/>
          <w:sz w:val="20"/>
          <w:szCs w:val="20"/>
        </w:rPr>
      </w:pPr>
    </w:p>
    <w:p w14:paraId="540DD3FD" w14:textId="506A3E6F"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 to Schedule B</w:t>
      </w:r>
    </w:p>
    <w:p w14:paraId="692DA898" w14:textId="06CC69C8" w:rsidR="0099442F" w:rsidRPr="006D2651" w:rsidRDefault="006D2651" w:rsidP="006D2651">
      <w:pPr>
        <w:jc w:val="center"/>
        <w:rPr>
          <w:rFonts w:ascii="Times New Roman" w:hAnsi="Times New Roman"/>
          <w:b/>
          <w:sz w:val="20"/>
          <w:szCs w:val="20"/>
        </w:rPr>
      </w:pPr>
      <w:r w:rsidRPr="006D2651">
        <w:rPr>
          <w:rFonts w:ascii="Times New Roman" w:hAnsi="Times New Roman"/>
          <w:b/>
          <w:sz w:val="20"/>
          <w:szCs w:val="20"/>
        </w:rPr>
        <w:t>Capital Cost Summary</w:t>
      </w:r>
    </w:p>
    <w:tbl>
      <w:tblPr>
        <w:tblStyle w:val="TableGrid"/>
        <w:tblW w:w="0" w:type="auto"/>
        <w:tblLook w:val="04A0" w:firstRow="1" w:lastRow="0" w:firstColumn="1" w:lastColumn="0" w:noHBand="0" w:noVBand="1"/>
      </w:tblPr>
      <w:tblGrid>
        <w:gridCol w:w="763"/>
        <w:gridCol w:w="3314"/>
        <w:gridCol w:w="3148"/>
        <w:gridCol w:w="2125"/>
      </w:tblGrid>
      <w:tr w:rsidR="006D2651" w:rsidRPr="006D2651" w14:paraId="3E1A0B32" w14:textId="77777777" w:rsidTr="006D2651">
        <w:trPr>
          <w:tblHeader/>
        </w:trPr>
        <w:tc>
          <w:tcPr>
            <w:tcW w:w="763" w:type="dxa"/>
            <w:vAlign w:val="center"/>
          </w:tcPr>
          <w:p w14:paraId="282AE288" w14:textId="77777777" w:rsidR="006D2651" w:rsidRPr="006D2651" w:rsidRDefault="006D2651" w:rsidP="006D2651">
            <w:pPr>
              <w:spacing w:after="0"/>
              <w:jc w:val="center"/>
              <w:rPr>
                <w:rFonts w:ascii="Times New Roman" w:hAnsi="Times New Roman"/>
                <w:b/>
                <w:sz w:val="20"/>
                <w:szCs w:val="20"/>
              </w:rPr>
            </w:pPr>
            <w:proofErr w:type="spellStart"/>
            <w:r w:rsidRPr="006D2651">
              <w:rPr>
                <w:rFonts w:ascii="Times New Roman" w:hAnsi="Times New Roman"/>
                <w:b/>
                <w:bCs/>
                <w:sz w:val="20"/>
                <w:szCs w:val="20"/>
              </w:rPr>
              <w:t>S.</w:t>
            </w:r>
            <w:r w:rsidRPr="006D2651">
              <w:rPr>
                <w:rFonts w:ascii="Times New Roman" w:hAnsi="Times New Roman"/>
                <w:b/>
                <w:sz w:val="20"/>
                <w:szCs w:val="20"/>
              </w:rPr>
              <w:t>No</w:t>
            </w:r>
            <w:proofErr w:type="spellEnd"/>
            <w:r w:rsidRPr="006D2651">
              <w:rPr>
                <w:rFonts w:ascii="Times New Roman" w:hAnsi="Times New Roman"/>
                <w:b/>
                <w:sz w:val="20"/>
                <w:szCs w:val="20"/>
              </w:rPr>
              <w:t>.</w:t>
            </w:r>
          </w:p>
        </w:tc>
        <w:tc>
          <w:tcPr>
            <w:tcW w:w="3314" w:type="dxa"/>
            <w:vAlign w:val="center"/>
          </w:tcPr>
          <w:p w14:paraId="10415446"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Description of items</w:t>
            </w:r>
          </w:p>
        </w:tc>
        <w:tc>
          <w:tcPr>
            <w:tcW w:w="3148" w:type="dxa"/>
            <w:vAlign w:val="center"/>
          </w:tcPr>
          <w:p w14:paraId="354AC53E"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Additional details</w:t>
            </w:r>
          </w:p>
        </w:tc>
        <w:tc>
          <w:tcPr>
            <w:tcW w:w="2125" w:type="dxa"/>
            <w:vAlign w:val="center"/>
          </w:tcPr>
          <w:p w14:paraId="107D9DC3"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Amount(₹/</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4E3DDDAC" w14:textId="77777777" w:rsidTr="006D2651">
        <w:tc>
          <w:tcPr>
            <w:tcW w:w="763" w:type="dxa"/>
            <w:vAlign w:val="center"/>
          </w:tcPr>
          <w:p w14:paraId="082C5057"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w:t>
            </w:r>
          </w:p>
        </w:tc>
        <w:tc>
          <w:tcPr>
            <w:tcW w:w="3314" w:type="dxa"/>
            <w:vAlign w:val="center"/>
          </w:tcPr>
          <w:p w14:paraId="2712BE8C"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Survey and Field Engineering (Details in attachment 1(a))</w:t>
            </w:r>
          </w:p>
        </w:tc>
        <w:tc>
          <w:tcPr>
            <w:tcW w:w="3148" w:type="dxa"/>
            <w:vAlign w:val="center"/>
          </w:tcPr>
          <w:p w14:paraId="1524C965" w14:textId="77777777" w:rsidR="006D2651" w:rsidRPr="006D2651" w:rsidRDefault="006D2651" w:rsidP="006D2651">
            <w:pPr>
              <w:spacing w:after="0"/>
              <w:rPr>
                <w:rFonts w:ascii="Times New Roman" w:hAnsi="Times New Roman"/>
                <w:sz w:val="20"/>
                <w:szCs w:val="20"/>
              </w:rPr>
            </w:pPr>
          </w:p>
        </w:tc>
        <w:tc>
          <w:tcPr>
            <w:tcW w:w="2125" w:type="dxa"/>
            <w:vAlign w:val="center"/>
          </w:tcPr>
          <w:p w14:paraId="3F4ED493" w14:textId="77777777" w:rsidR="006D2651" w:rsidRPr="006D2651" w:rsidRDefault="006D2651" w:rsidP="006D2651">
            <w:pPr>
              <w:spacing w:after="0"/>
              <w:jc w:val="center"/>
              <w:rPr>
                <w:rFonts w:ascii="Times New Roman" w:hAnsi="Times New Roman"/>
                <w:sz w:val="20"/>
                <w:szCs w:val="20"/>
              </w:rPr>
            </w:pPr>
          </w:p>
        </w:tc>
      </w:tr>
      <w:tr w:rsidR="006D2651" w:rsidRPr="006D2651" w14:paraId="3ECE51DA" w14:textId="77777777" w:rsidTr="006D2651">
        <w:tc>
          <w:tcPr>
            <w:tcW w:w="763" w:type="dxa"/>
            <w:vAlign w:val="center"/>
          </w:tcPr>
          <w:p w14:paraId="366DFA4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2.</w:t>
            </w:r>
          </w:p>
        </w:tc>
        <w:tc>
          <w:tcPr>
            <w:tcW w:w="3314" w:type="dxa"/>
            <w:vAlign w:val="center"/>
          </w:tcPr>
          <w:p w14:paraId="34268999"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xml:space="preserve">Land </w:t>
            </w:r>
          </w:p>
        </w:tc>
        <w:tc>
          <w:tcPr>
            <w:tcW w:w="3148" w:type="dxa"/>
            <w:vAlign w:val="center"/>
          </w:tcPr>
          <w:p w14:paraId="45798155" w14:textId="77777777" w:rsidR="006D2651" w:rsidRPr="006D2651" w:rsidRDefault="006D2651" w:rsidP="006D2651">
            <w:pPr>
              <w:spacing w:after="0"/>
              <w:rPr>
                <w:rFonts w:ascii="Times New Roman" w:hAnsi="Times New Roman"/>
                <w:sz w:val="20"/>
                <w:szCs w:val="20"/>
              </w:rPr>
            </w:pPr>
          </w:p>
        </w:tc>
        <w:tc>
          <w:tcPr>
            <w:tcW w:w="2125" w:type="dxa"/>
            <w:vAlign w:val="center"/>
          </w:tcPr>
          <w:p w14:paraId="6163700B" w14:textId="77777777" w:rsidR="006D2651" w:rsidRPr="006D2651" w:rsidRDefault="006D2651" w:rsidP="006D2651">
            <w:pPr>
              <w:spacing w:after="0"/>
              <w:jc w:val="center"/>
              <w:rPr>
                <w:rFonts w:ascii="Times New Roman" w:hAnsi="Times New Roman"/>
                <w:sz w:val="20"/>
                <w:szCs w:val="20"/>
              </w:rPr>
            </w:pPr>
          </w:p>
        </w:tc>
      </w:tr>
      <w:tr w:rsidR="006D2651" w:rsidRPr="006D2651" w14:paraId="2C2E0DB9" w14:textId="77777777" w:rsidTr="006D2651">
        <w:tc>
          <w:tcPr>
            <w:tcW w:w="763" w:type="dxa"/>
            <w:vAlign w:val="center"/>
          </w:tcPr>
          <w:p w14:paraId="0C26FBB4"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4E92E442"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744B96D5"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Station</w:t>
            </w:r>
          </w:p>
        </w:tc>
        <w:tc>
          <w:tcPr>
            <w:tcW w:w="2125" w:type="dxa"/>
            <w:vAlign w:val="center"/>
          </w:tcPr>
          <w:p w14:paraId="12E667F0" w14:textId="77777777" w:rsidR="006D2651" w:rsidRPr="006D2651" w:rsidRDefault="006D2651" w:rsidP="006D2651">
            <w:pPr>
              <w:spacing w:after="0"/>
              <w:jc w:val="center"/>
              <w:rPr>
                <w:rFonts w:ascii="Times New Roman" w:hAnsi="Times New Roman"/>
                <w:sz w:val="20"/>
                <w:szCs w:val="20"/>
              </w:rPr>
            </w:pPr>
          </w:p>
        </w:tc>
      </w:tr>
      <w:tr w:rsidR="006D2651" w:rsidRPr="006D2651" w14:paraId="73699131" w14:textId="77777777" w:rsidTr="006D2651">
        <w:tc>
          <w:tcPr>
            <w:tcW w:w="763" w:type="dxa"/>
            <w:vAlign w:val="center"/>
          </w:tcPr>
          <w:p w14:paraId="7DD13A22"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5EB038F0"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29854281"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RCP/SV</w:t>
            </w:r>
          </w:p>
        </w:tc>
        <w:tc>
          <w:tcPr>
            <w:tcW w:w="2125" w:type="dxa"/>
            <w:vAlign w:val="center"/>
          </w:tcPr>
          <w:p w14:paraId="7855173E" w14:textId="77777777" w:rsidR="006D2651" w:rsidRPr="006D2651" w:rsidRDefault="006D2651" w:rsidP="006D2651">
            <w:pPr>
              <w:spacing w:after="0"/>
              <w:jc w:val="center"/>
              <w:rPr>
                <w:rFonts w:ascii="Times New Roman" w:hAnsi="Times New Roman"/>
                <w:sz w:val="20"/>
                <w:szCs w:val="20"/>
              </w:rPr>
            </w:pPr>
          </w:p>
        </w:tc>
      </w:tr>
      <w:tr w:rsidR="006D2651" w:rsidRPr="006D2651" w14:paraId="36C48568" w14:textId="77777777" w:rsidTr="006D2651">
        <w:tc>
          <w:tcPr>
            <w:tcW w:w="763" w:type="dxa"/>
            <w:vAlign w:val="center"/>
          </w:tcPr>
          <w:p w14:paraId="33F405C1"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338D87D1"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57A03A6F"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Others (Details in attachment 1(b)</w:t>
            </w:r>
          </w:p>
        </w:tc>
        <w:tc>
          <w:tcPr>
            <w:tcW w:w="2125" w:type="dxa"/>
            <w:vAlign w:val="center"/>
          </w:tcPr>
          <w:p w14:paraId="38EEA88A" w14:textId="77777777" w:rsidR="006D2651" w:rsidRPr="006D2651" w:rsidRDefault="006D2651" w:rsidP="006D2651">
            <w:pPr>
              <w:spacing w:after="0"/>
              <w:jc w:val="center"/>
              <w:rPr>
                <w:rFonts w:ascii="Times New Roman" w:hAnsi="Times New Roman"/>
                <w:sz w:val="20"/>
                <w:szCs w:val="20"/>
              </w:rPr>
            </w:pPr>
          </w:p>
        </w:tc>
      </w:tr>
      <w:tr w:rsidR="006D2651" w:rsidRPr="006D2651" w14:paraId="1EFE20AA" w14:textId="77777777" w:rsidTr="006D2651">
        <w:tc>
          <w:tcPr>
            <w:tcW w:w="763" w:type="dxa"/>
            <w:vAlign w:val="center"/>
          </w:tcPr>
          <w:p w14:paraId="2C3EC75E"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7F7319CA"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7DB166DF" w14:textId="77777777" w:rsidR="006D2651" w:rsidRPr="006D2651" w:rsidRDefault="006D2651" w:rsidP="006D2651">
            <w:pPr>
              <w:spacing w:after="0"/>
              <w:jc w:val="right"/>
              <w:rPr>
                <w:rFonts w:ascii="Times New Roman" w:hAnsi="Times New Roman"/>
                <w:b/>
                <w:sz w:val="20"/>
                <w:szCs w:val="20"/>
              </w:rPr>
            </w:pPr>
            <w:r w:rsidRPr="006D2651">
              <w:rPr>
                <w:rFonts w:ascii="Times New Roman" w:hAnsi="Times New Roman"/>
                <w:b/>
                <w:sz w:val="20"/>
                <w:szCs w:val="20"/>
              </w:rPr>
              <w:t>Sub Total</w:t>
            </w:r>
          </w:p>
        </w:tc>
        <w:tc>
          <w:tcPr>
            <w:tcW w:w="2125" w:type="dxa"/>
            <w:vAlign w:val="center"/>
          </w:tcPr>
          <w:p w14:paraId="19C46908" w14:textId="77777777" w:rsidR="006D2651" w:rsidRPr="006D2651" w:rsidRDefault="006D2651" w:rsidP="006D2651">
            <w:pPr>
              <w:spacing w:after="0"/>
              <w:jc w:val="center"/>
              <w:rPr>
                <w:rFonts w:ascii="Times New Roman" w:hAnsi="Times New Roman"/>
                <w:sz w:val="20"/>
                <w:szCs w:val="20"/>
              </w:rPr>
            </w:pPr>
          </w:p>
        </w:tc>
      </w:tr>
      <w:tr w:rsidR="006D2651" w:rsidRPr="006D2651" w14:paraId="0EF6B02A" w14:textId="77777777" w:rsidTr="006D2651">
        <w:tc>
          <w:tcPr>
            <w:tcW w:w="763" w:type="dxa"/>
            <w:vAlign w:val="center"/>
          </w:tcPr>
          <w:p w14:paraId="1637DB8C"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3.</w:t>
            </w:r>
          </w:p>
        </w:tc>
        <w:tc>
          <w:tcPr>
            <w:tcW w:w="3314" w:type="dxa"/>
            <w:vAlign w:val="center"/>
          </w:tcPr>
          <w:p w14:paraId="77EE4FC4" w14:textId="77777777" w:rsidR="006D2651" w:rsidRPr="006D2651" w:rsidRDefault="006D2651" w:rsidP="006D2651">
            <w:pPr>
              <w:spacing w:after="0"/>
              <w:rPr>
                <w:rFonts w:ascii="Times New Roman" w:hAnsi="Times New Roman"/>
                <w:sz w:val="20"/>
                <w:szCs w:val="20"/>
              </w:rPr>
            </w:pPr>
            <w:proofErr w:type="spellStart"/>
            <w:r w:rsidRPr="006D2651">
              <w:rPr>
                <w:rFonts w:ascii="Times New Roman" w:hAnsi="Times New Roman"/>
                <w:sz w:val="20"/>
                <w:szCs w:val="20"/>
              </w:rPr>
              <w:t>RoU</w:t>
            </w:r>
            <w:proofErr w:type="spellEnd"/>
            <w:r w:rsidRPr="006D2651">
              <w:rPr>
                <w:rFonts w:ascii="Times New Roman" w:hAnsi="Times New Roman"/>
                <w:sz w:val="20"/>
                <w:szCs w:val="20"/>
              </w:rPr>
              <w:t xml:space="preserve"> Compensation</w:t>
            </w:r>
          </w:p>
        </w:tc>
        <w:tc>
          <w:tcPr>
            <w:tcW w:w="3148" w:type="dxa"/>
            <w:vAlign w:val="center"/>
          </w:tcPr>
          <w:p w14:paraId="0C76FE1A"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4BFEF480" w14:textId="77777777" w:rsidR="006D2651" w:rsidRPr="006D2651" w:rsidRDefault="006D2651" w:rsidP="006D2651">
            <w:pPr>
              <w:spacing w:after="0"/>
              <w:jc w:val="center"/>
              <w:rPr>
                <w:rFonts w:ascii="Times New Roman" w:hAnsi="Times New Roman"/>
                <w:sz w:val="20"/>
                <w:szCs w:val="20"/>
              </w:rPr>
            </w:pPr>
          </w:p>
        </w:tc>
      </w:tr>
      <w:tr w:rsidR="006D2651" w:rsidRPr="006D2651" w14:paraId="04CD99A7" w14:textId="77777777" w:rsidTr="006D2651">
        <w:tc>
          <w:tcPr>
            <w:tcW w:w="763" w:type="dxa"/>
            <w:vAlign w:val="center"/>
          </w:tcPr>
          <w:p w14:paraId="28D0F0AF"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4.</w:t>
            </w:r>
          </w:p>
        </w:tc>
        <w:tc>
          <w:tcPr>
            <w:tcW w:w="3314" w:type="dxa"/>
            <w:vAlign w:val="center"/>
          </w:tcPr>
          <w:p w14:paraId="72AE309A"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Crop Compensation</w:t>
            </w:r>
          </w:p>
        </w:tc>
        <w:tc>
          <w:tcPr>
            <w:tcW w:w="3148" w:type="dxa"/>
            <w:vAlign w:val="center"/>
          </w:tcPr>
          <w:p w14:paraId="1F8B8BA5"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4778EA9E" w14:textId="77777777" w:rsidR="006D2651" w:rsidRPr="006D2651" w:rsidRDefault="006D2651" w:rsidP="006D2651">
            <w:pPr>
              <w:spacing w:after="0"/>
              <w:jc w:val="center"/>
              <w:rPr>
                <w:rFonts w:ascii="Times New Roman" w:hAnsi="Times New Roman"/>
                <w:sz w:val="20"/>
                <w:szCs w:val="20"/>
              </w:rPr>
            </w:pPr>
          </w:p>
        </w:tc>
      </w:tr>
      <w:tr w:rsidR="006D2651" w:rsidRPr="006D2651" w14:paraId="745E0AFC" w14:textId="77777777" w:rsidTr="006D2651">
        <w:tc>
          <w:tcPr>
            <w:tcW w:w="763" w:type="dxa"/>
            <w:vAlign w:val="center"/>
          </w:tcPr>
          <w:p w14:paraId="5E8C3E8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5.</w:t>
            </w:r>
          </w:p>
        </w:tc>
        <w:tc>
          <w:tcPr>
            <w:tcW w:w="3314" w:type="dxa"/>
            <w:vAlign w:val="center"/>
          </w:tcPr>
          <w:p w14:paraId="4546ECD3"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xml:space="preserve">Permissions for </w:t>
            </w:r>
            <w:proofErr w:type="spellStart"/>
            <w:r w:rsidRPr="006D2651">
              <w:rPr>
                <w:rFonts w:ascii="Times New Roman" w:hAnsi="Times New Roman"/>
                <w:sz w:val="20"/>
                <w:szCs w:val="20"/>
              </w:rPr>
              <w:t>RoU</w:t>
            </w:r>
            <w:proofErr w:type="spellEnd"/>
          </w:p>
        </w:tc>
        <w:tc>
          <w:tcPr>
            <w:tcW w:w="3148" w:type="dxa"/>
            <w:vAlign w:val="center"/>
          </w:tcPr>
          <w:p w14:paraId="4CF82E32"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6811224E" w14:textId="77777777" w:rsidR="006D2651" w:rsidRPr="006D2651" w:rsidRDefault="006D2651" w:rsidP="006D2651">
            <w:pPr>
              <w:spacing w:after="0"/>
              <w:jc w:val="center"/>
              <w:rPr>
                <w:rFonts w:ascii="Times New Roman" w:hAnsi="Times New Roman"/>
                <w:sz w:val="20"/>
                <w:szCs w:val="20"/>
              </w:rPr>
            </w:pPr>
          </w:p>
        </w:tc>
      </w:tr>
      <w:tr w:rsidR="006D2651" w:rsidRPr="006D2651" w14:paraId="0E5AA034" w14:textId="77777777" w:rsidTr="006D2651">
        <w:tc>
          <w:tcPr>
            <w:tcW w:w="763" w:type="dxa"/>
            <w:vAlign w:val="center"/>
          </w:tcPr>
          <w:p w14:paraId="56D86107"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6.</w:t>
            </w:r>
          </w:p>
        </w:tc>
        <w:tc>
          <w:tcPr>
            <w:tcW w:w="3314" w:type="dxa"/>
            <w:vAlign w:val="center"/>
          </w:tcPr>
          <w:p w14:paraId="460F3092"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Mainline Pipes (Coated) (Details in attachment 1(c))</w:t>
            </w:r>
          </w:p>
        </w:tc>
        <w:tc>
          <w:tcPr>
            <w:tcW w:w="3148" w:type="dxa"/>
            <w:vAlign w:val="center"/>
          </w:tcPr>
          <w:p w14:paraId="4FC72183"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255D7B94" w14:textId="77777777" w:rsidR="006D2651" w:rsidRPr="006D2651" w:rsidRDefault="006D2651" w:rsidP="006D2651">
            <w:pPr>
              <w:spacing w:after="0"/>
              <w:jc w:val="center"/>
              <w:rPr>
                <w:rFonts w:ascii="Times New Roman" w:hAnsi="Times New Roman"/>
                <w:sz w:val="20"/>
                <w:szCs w:val="20"/>
              </w:rPr>
            </w:pPr>
          </w:p>
        </w:tc>
      </w:tr>
      <w:tr w:rsidR="006D2651" w:rsidRPr="006D2651" w14:paraId="2E5AB17A" w14:textId="77777777" w:rsidTr="006D2651">
        <w:tc>
          <w:tcPr>
            <w:tcW w:w="763" w:type="dxa"/>
            <w:vAlign w:val="center"/>
          </w:tcPr>
          <w:p w14:paraId="45C0B0A6"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7.</w:t>
            </w:r>
          </w:p>
        </w:tc>
        <w:tc>
          <w:tcPr>
            <w:tcW w:w="3314" w:type="dxa"/>
            <w:vAlign w:val="center"/>
          </w:tcPr>
          <w:p w14:paraId="0C45AE45"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Mainline Construction (Details in attachment 1(d))</w:t>
            </w:r>
          </w:p>
        </w:tc>
        <w:tc>
          <w:tcPr>
            <w:tcW w:w="3148" w:type="dxa"/>
            <w:vAlign w:val="center"/>
          </w:tcPr>
          <w:p w14:paraId="683B3800"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42E034E9" w14:textId="77777777" w:rsidR="006D2651" w:rsidRPr="006D2651" w:rsidRDefault="006D2651" w:rsidP="006D2651">
            <w:pPr>
              <w:spacing w:after="0"/>
              <w:jc w:val="center"/>
              <w:rPr>
                <w:rFonts w:ascii="Times New Roman" w:hAnsi="Times New Roman"/>
                <w:sz w:val="20"/>
                <w:szCs w:val="20"/>
              </w:rPr>
            </w:pPr>
          </w:p>
        </w:tc>
      </w:tr>
      <w:tr w:rsidR="006D2651" w:rsidRPr="006D2651" w14:paraId="4B3C5C93" w14:textId="77777777" w:rsidTr="006D2651">
        <w:tc>
          <w:tcPr>
            <w:tcW w:w="763" w:type="dxa"/>
            <w:vAlign w:val="center"/>
          </w:tcPr>
          <w:p w14:paraId="68575F33"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8.</w:t>
            </w:r>
          </w:p>
        </w:tc>
        <w:tc>
          <w:tcPr>
            <w:tcW w:w="3314" w:type="dxa"/>
            <w:vAlign w:val="center"/>
          </w:tcPr>
          <w:p w14:paraId="7AEC051C"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Pump Station and Terminal (Details in  attachment 1(e)</w:t>
            </w:r>
          </w:p>
        </w:tc>
        <w:tc>
          <w:tcPr>
            <w:tcW w:w="3148" w:type="dxa"/>
            <w:vAlign w:val="center"/>
          </w:tcPr>
          <w:p w14:paraId="4B8CFE5B"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7B06B435" w14:textId="77777777" w:rsidR="006D2651" w:rsidRPr="006D2651" w:rsidRDefault="006D2651" w:rsidP="006D2651">
            <w:pPr>
              <w:spacing w:after="0"/>
              <w:jc w:val="center"/>
              <w:rPr>
                <w:rFonts w:ascii="Times New Roman" w:hAnsi="Times New Roman"/>
                <w:sz w:val="20"/>
                <w:szCs w:val="20"/>
              </w:rPr>
            </w:pPr>
          </w:p>
        </w:tc>
      </w:tr>
      <w:tr w:rsidR="006D2651" w:rsidRPr="006D2651" w14:paraId="08B3812D" w14:textId="77777777" w:rsidTr="006D2651">
        <w:tc>
          <w:tcPr>
            <w:tcW w:w="763" w:type="dxa"/>
            <w:vAlign w:val="center"/>
          </w:tcPr>
          <w:p w14:paraId="65B84F0A"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6ABD1217"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726BE5ED"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Civil</w:t>
            </w:r>
          </w:p>
        </w:tc>
        <w:tc>
          <w:tcPr>
            <w:tcW w:w="2125" w:type="dxa"/>
            <w:vAlign w:val="center"/>
          </w:tcPr>
          <w:p w14:paraId="3060B2AE" w14:textId="77777777" w:rsidR="006D2651" w:rsidRPr="006D2651" w:rsidRDefault="006D2651" w:rsidP="006D2651">
            <w:pPr>
              <w:spacing w:after="0"/>
              <w:jc w:val="center"/>
              <w:rPr>
                <w:rFonts w:ascii="Times New Roman" w:hAnsi="Times New Roman"/>
                <w:sz w:val="20"/>
                <w:szCs w:val="20"/>
              </w:rPr>
            </w:pPr>
          </w:p>
        </w:tc>
      </w:tr>
      <w:tr w:rsidR="006D2651" w:rsidRPr="006D2651" w14:paraId="31BE075C" w14:textId="77777777" w:rsidTr="006D2651">
        <w:tc>
          <w:tcPr>
            <w:tcW w:w="763" w:type="dxa"/>
            <w:vAlign w:val="center"/>
          </w:tcPr>
          <w:p w14:paraId="696F4528"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6CBCF701"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285CDBA6"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Electrical</w:t>
            </w:r>
          </w:p>
        </w:tc>
        <w:tc>
          <w:tcPr>
            <w:tcW w:w="2125" w:type="dxa"/>
            <w:vAlign w:val="center"/>
          </w:tcPr>
          <w:p w14:paraId="0D633391" w14:textId="77777777" w:rsidR="006D2651" w:rsidRPr="006D2651" w:rsidRDefault="006D2651" w:rsidP="006D2651">
            <w:pPr>
              <w:spacing w:after="0"/>
              <w:jc w:val="center"/>
              <w:rPr>
                <w:rFonts w:ascii="Times New Roman" w:hAnsi="Times New Roman"/>
                <w:sz w:val="20"/>
                <w:szCs w:val="20"/>
              </w:rPr>
            </w:pPr>
          </w:p>
        </w:tc>
      </w:tr>
      <w:tr w:rsidR="006D2651" w:rsidRPr="006D2651" w14:paraId="2AD6F03F" w14:textId="77777777" w:rsidTr="006D2651">
        <w:tc>
          <w:tcPr>
            <w:tcW w:w="763" w:type="dxa"/>
            <w:vAlign w:val="center"/>
          </w:tcPr>
          <w:p w14:paraId="622D2B69"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79E756EC"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3AFE9EA2"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Mechanical</w:t>
            </w:r>
          </w:p>
        </w:tc>
        <w:tc>
          <w:tcPr>
            <w:tcW w:w="2125" w:type="dxa"/>
            <w:vAlign w:val="center"/>
          </w:tcPr>
          <w:p w14:paraId="55189347" w14:textId="77777777" w:rsidR="006D2651" w:rsidRPr="006D2651" w:rsidRDefault="006D2651" w:rsidP="006D2651">
            <w:pPr>
              <w:spacing w:after="0"/>
              <w:jc w:val="center"/>
              <w:rPr>
                <w:rFonts w:ascii="Times New Roman" w:hAnsi="Times New Roman"/>
                <w:sz w:val="20"/>
                <w:szCs w:val="20"/>
              </w:rPr>
            </w:pPr>
          </w:p>
        </w:tc>
      </w:tr>
      <w:tr w:rsidR="006D2651" w:rsidRPr="006D2651" w14:paraId="343B197B" w14:textId="77777777" w:rsidTr="006D2651">
        <w:tc>
          <w:tcPr>
            <w:tcW w:w="763" w:type="dxa"/>
            <w:vAlign w:val="center"/>
          </w:tcPr>
          <w:p w14:paraId="12CB787B"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22D9C720"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17B8D232"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Instrumentation; F&amp;G</w:t>
            </w:r>
          </w:p>
        </w:tc>
        <w:tc>
          <w:tcPr>
            <w:tcW w:w="2125" w:type="dxa"/>
            <w:vAlign w:val="center"/>
          </w:tcPr>
          <w:p w14:paraId="28648B27" w14:textId="77777777" w:rsidR="006D2651" w:rsidRPr="006D2651" w:rsidRDefault="006D2651" w:rsidP="006D2651">
            <w:pPr>
              <w:spacing w:after="0"/>
              <w:jc w:val="center"/>
              <w:rPr>
                <w:rFonts w:ascii="Times New Roman" w:hAnsi="Times New Roman"/>
                <w:sz w:val="20"/>
                <w:szCs w:val="20"/>
              </w:rPr>
            </w:pPr>
          </w:p>
        </w:tc>
      </w:tr>
      <w:tr w:rsidR="006D2651" w:rsidRPr="006D2651" w14:paraId="3413BB3C" w14:textId="77777777" w:rsidTr="006D2651">
        <w:tc>
          <w:tcPr>
            <w:tcW w:w="763" w:type="dxa"/>
            <w:vAlign w:val="center"/>
          </w:tcPr>
          <w:p w14:paraId="5A4D5401"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639C9FC6" w14:textId="77777777" w:rsidR="006D2651" w:rsidRPr="006D2651" w:rsidRDefault="006D2651" w:rsidP="006D2651">
            <w:pPr>
              <w:spacing w:after="0"/>
              <w:jc w:val="center"/>
              <w:rPr>
                <w:rFonts w:ascii="Times New Roman" w:hAnsi="Times New Roman"/>
                <w:sz w:val="20"/>
                <w:szCs w:val="20"/>
              </w:rPr>
            </w:pPr>
          </w:p>
        </w:tc>
        <w:tc>
          <w:tcPr>
            <w:tcW w:w="3148" w:type="dxa"/>
            <w:vAlign w:val="center"/>
          </w:tcPr>
          <w:p w14:paraId="0AAA60F9" w14:textId="77777777" w:rsidR="006D2651" w:rsidRPr="006D2651" w:rsidRDefault="006D2651" w:rsidP="006D2651">
            <w:pPr>
              <w:spacing w:after="0"/>
              <w:jc w:val="right"/>
              <w:rPr>
                <w:rFonts w:ascii="Times New Roman" w:hAnsi="Times New Roman"/>
                <w:sz w:val="20"/>
                <w:szCs w:val="20"/>
              </w:rPr>
            </w:pPr>
            <w:r w:rsidRPr="006D2651">
              <w:rPr>
                <w:rFonts w:ascii="Times New Roman" w:hAnsi="Times New Roman"/>
                <w:b/>
                <w:bCs/>
                <w:sz w:val="20"/>
                <w:szCs w:val="20"/>
              </w:rPr>
              <w:t>Sub Total</w:t>
            </w:r>
          </w:p>
        </w:tc>
        <w:tc>
          <w:tcPr>
            <w:tcW w:w="2125" w:type="dxa"/>
            <w:vAlign w:val="center"/>
          </w:tcPr>
          <w:p w14:paraId="4556F577" w14:textId="77777777" w:rsidR="006D2651" w:rsidRPr="006D2651" w:rsidRDefault="006D2651" w:rsidP="006D2651">
            <w:pPr>
              <w:spacing w:after="0"/>
              <w:jc w:val="center"/>
              <w:rPr>
                <w:rFonts w:ascii="Times New Roman" w:hAnsi="Times New Roman"/>
                <w:sz w:val="20"/>
                <w:szCs w:val="20"/>
              </w:rPr>
            </w:pPr>
          </w:p>
        </w:tc>
      </w:tr>
      <w:tr w:rsidR="006D2651" w:rsidRPr="006D2651" w14:paraId="4730F282" w14:textId="77777777" w:rsidTr="006D2651">
        <w:tc>
          <w:tcPr>
            <w:tcW w:w="763" w:type="dxa"/>
            <w:vAlign w:val="center"/>
          </w:tcPr>
          <w:p w14:paraId="7402C0F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9.</w:t>
            </w:r>
          </w:p>
        </w:tc>
        <w:tc>
          <w:tcPr>
            <w:tcW w:w="3314" w:type="dxa"/>
            <w:vAlign w:val="center"/>
          </w:tcPr>
          <w:p w14:paraId="28B0B6B8"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RCP/SV Stations</w:t>
            </w:r>
          </w:p>
        </w:tc>
        <w:tc>
          <w:tcPr>
            <w:tcW w:w="3148" w:type="dxa"/>
            <w:vAlign w:val="center"/>
          </w:tcPr>
          <w:p w14:paraId="1E5E6A51"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2721651E" w14:textId="77777777" w:rsidR="006D2651" w:rsidRPr="006D2651" w:rsidRDefault="006D2651" w:rsidP="006D2651">
            <w:pPr>
              <w:spacing w:after="0"/>
              <w:jc w:val="center"/>
              <w:rPr>
                <w:rFonts w:ascii="Times New Roman" w:hAnsi="Times New Roman"/>
                <w:sz w:val="20"/>
                <w:szCs w:val="20"/>
              </w:rPr>
            </w:pPr>
          </w:p>
        </w:tc>
      </w:tr>
      <w:tr w:rsidR="006D2651" w:rsidRPr="006D2651" w14:paraId="3889C00E" w14:textId="77777777" w:rsidTr="006D2651">
        <w:tc>
          <w:tcPr>
            <w:tcW w:w="763" w:type="dxa"/>
            <w:vAlign w:val="center"/>
          </w:tcPr>
          <w:p w14:paraId="3BD4516C"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5B448129" w14:textId="77777777" w:rsidR="006D2651" w:rsidRPr="006D2651" w:rsidRDefault="006D2651" w:rsidP="006D2651">
            <w:pPr>
              <w:spacing w:after="0"/>
              <w:rPr>
                <w:rFonts w:ascii="Times New Roman" w:hAnsi="Times New Roman"/>
                <w:sz w:val="20"/>
                <w:szCs w:val="20"/>
              </w:rPr>
            </w:pPr>
          </w:p>
        </w:tc>
        <w:tc>
          <w:tcPr>
            <w:tcW w:w="3148" w:type="dxa"/>
            <w:vAlign w:val="center"/>
          </w:tcPr>
          <w:p w14:paraId="6E1BF56E" w14:textId="77777777" w:rsidR="006D2651" w:rsidRPr="006D2651" w:rsidRDefault="006D2651" w:rsidP="006D2651">
            <w:pPr>
              <w:spacing w:after="0"/>
              <w:rPr>
                <w:rFonts w:ascii="Times New Roman" w:hAnsi="Times New Roman"/>
                <w:b/>
                <w:bCs/>
                <w:sz w:val="20"/>
                <w:szCs w:val="20"/>
              </w:rPr>
            </w:pPr>
            <w:r w:rsidRPr="006D2651">
              <w:rPr>
                <w:rFonts w:ascii="Times New Roman" w:hAnsi="Times New Roman"/>
                <w:sz w:val="20"/>
                <w:szCs w:val="20"/>
              </w:rPr>
              <w:t>Civil</w:t>
            </w:r>
          </w:p>
        </w:tc>
        <w:tc>
          <w:tcPr>
            <w:tcW w:w="2125" w:type="dxa"/>
            <w:vAlign w:val="center"/>
          </w:tcPr>
          <w:p w14:paraId="41A3809C" w14:textId="77777777" w:rsidR="006D2651" w:rsidRPr="006D2651" w:rsidRDefault="006D2651" w:rsidP="006D2651">
            <w:pPr>
              <w:spacing w:after="0"/>
              <w:jc w:val="center"/>
              <w:rPr>
                <w:rFonts w:ascii="Times New Roman" w:hAnsi="Times New Roman"/>
                <w:sz w:val="20"/>
                <w:szCs w:val="20"/>
              </w:rPr>
            </w:pPr>
          </w:p>
        </w:tc>
      </w:tr>
      <w:tr w:rsidR="006D2651" w:rsidRPr="006D2651" w14:paraId="4F74EB19" w14:textId="77777777" w:rsidTr="006D2651">
        <w:tc>
          <w:tcPr>
            <w:tcW w:w="763" w:type="dxa"/>
            <w:vAlign w:val="center"/>
          </w:tcPr>
          <w:p w14:paraId="1799BBB2"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7FC250A3" w14:textId="77777777" w:rsidR="006D2651" w:rsidRPr="006D2651" w:rsidRDefault="006D2651" w:rsidP="006D2651">
            <w:pPr>
              <w:spacing w:after="0"/>
              <w:rPr>
                <w:rFonts w:ascii="Times New Roman" w:hAnsi="Times New Roman"/>
                <w:sz w:val="20"/>
                <w:szCs w:val="20"/>
              </w:rPr>
            </w:pPr>
          </w:p>
        </w:tc>
        <w:tc>
          <w:tcPr>
            <w:tcW w:w="3148" w:type="dxa"/>
            <w:vAlign w:val="center"/>
          </w:tcPr>
          <w:p w14:paraId="5C9C6729" w14:textId="77777777" w:rsidR="006D2651" w:rsidRPr="006D2651" w:rsidRDefault="006D2651" w:rsidP="006D2651">
            <w:pPr>
              <w:spacing w:after="0"/>
              <w:rPr>
                <w:rFonts w:ascii="Times New Roman" w:hAnsi="Times New Roman"/>
                <w:b/>
                <w:bCs/>
                <w:sz w:val="20"/>
                <w:szCs w:val="20"/>
              </w:rPr>
            </w:pPr>
            <w:r w:rsidRPr="006D2651">
              <w:rPr>
                <w:rFonts w:ascii="Times New Roman" w:hAnsi="Times New Roman"/>
                <w:sz w:val="20"/>
                <w:szCs w:val="20"/>
              </w:rPr>
              <w:t>Electrical</w:t>
            </w:r>
          </w:p>
        </w:tc>
        <w:tc>
          <w:tcPr>
            <w:tcW w:w="2125" w:type="dxa"/>
            <w:vAlign w:val="center"/>
          </w:tcPr>
          <w:p w14:paraId="772E8A19" w14:textId="77777777" w:rsidR="006D2651" w:rsidRPr="006D2651" w:rsidRDefault="006D2651" w:rsidP="006D2651">
            <w:pPr>
              <w:spacing w:after="0"/>
              <w:jc w:val="center"/>
              <w:rPr>
                <w:rFonts w:ascii="Times New Roman" w:hAnsi="Times New Roman"/>
                <w:sz w:val="20"/>
                <w:szCs w:val="20"/>
              </w:rPr>
            </w:pPr>
          </w:p>
        </w:tc>
      </w:tr>
      <w:tr w:rsidR="006D2651" w:rsidRPr="006D2651" w14:paraId="0438ECF1" w14:textId="77777777" w:rsidTr="006D2651">
        <w:tc>
          <w:tcPr>
            <w:tcW w:w="763" w:type="dxa"/>
            <w:vAlign w:val="center"/>
          </w:tcPr>
          <w:p w14:paraId="536C0E66"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7371439B" w14:textId="77777777" w:rsidR="006D2651" w:rsidRPr="006D2651" w:rsidRDefault="006D2651" w:rsidP="006D2651">
            <w:pPr>
              <w:spacing w:after="0"/>
              <w:rPr>
                <w:rFonts w:ascii="Times New Roman" w:hAnsi="Times New Roman"/>
                <w:sz w:val="20"/>
                <w:szCs w:val="20"/>
              </w:rPr>
            </w:pPr>
          </w:p>
        </w:tc>
        <w:tc>
          <w:tcPr>
            <w:tcW w:w="3148" w:type="dxa"/>
            <w:vAlign w:val="center"/>
          </w:tcPr>
          <w:p w14:paraId="5B3B885E" w14:textId="77777777" w:rsidR="006D2651" w:rsidRPr="006D2651" w:rsidRDefault="006D2651" w:rsidP="006D2651">
            <w:pPr>
              <w:spacing w:after="0"/>
              <w:rPr>
                <w:rFonts w:ascii="Times New Roman" w:hAnsi="Times New Roman"/>
                <w:b/>
                <w:bCs/>
                <w:sz w:val="20"/>
                <w:szCs w:val="20"/>
              </w:rPr>
            </w:pPr>
            <w:r w:rsidRPr="006D2651">
              <w:rPr>
                <w:rFonts w:ascii="Times New Roman" w:hAnsi="Times New Roman"/>
                <w:sz w:val="20"/>
                <w:szCs w:val="20"/>
              </w:rPr>
              <w:t>Mechanical (M/L Materials)</w:t>
            </w:r>
          </w:p>
        </w:tc>
        <w:tc>
          <w:tcPr>
            <w:tcW w:w="2125" w:type="dxa"/>
            <w:vAlign w:val="center"/>
          </w:tcPr>
          <w:p w14:paraId="15EB701E" w14:textId="77777777" w:rsidR="006D2651" w:rsidRPr="006D2651" w:rsidRDefault="006D2651" w:rsidP="006D2651">
            <w:pPr>
              <w:spacing w:after="0"/>
              <w:jc w:val="center"/>
              <w:rPr>
                <w:rFonts w:ascii="Times New Roman" w:hAnsi="Times New Roman"/>
                <w:sz w:val="20"/>
                <w:szCs w:val="20"/>
              </w:rPr>
            </w:pPr>
          </w:p>
        </w:tc>
      </w:tr>
      <w:tr w:rsidR="006D2651" w:rsidRPr="006D2651" w14:paraId="29D6E1B1" w14:textId="77777777" w:rsidTr="006D2651">
        <w:tc>
          <w:tcPr>
            <w:tcW w:w="763" w:type="dxa"/>
            <w:vAlign w:val="center"/>
          </w:tcPr>
          <w:p w14:paraId="16E69C51"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28077CD6" w14:textId="77777777" w:rsidR="006D2651" w:rsidRPr="006D2651" w:rsidRDefault="006D2651" w:rsidP="006D2651">
            <w:pPr>
              <w:spacing w:after="0"/>
              <w:rPr>
                <w:rFonts w:ascii="Times New Roman" w:hAnsi="Times New Roman"/>
                <w:sz w:val="20"/>
                <w:szCs w:val="20"/>
              </w:rPr>
            </w:pPr>
          </w:p>
        </w:tc>
        <w:tc>
          <w:tcPr>
            <w:tcW w:w="3148" w:type="dxa"/>
            <w:vAlign w:val="center"/>
          </w:tcPr>
          <w:p w14:paraId="424CD411" w14:textId="77777777" w:rsidR="006D2651" w:rsidRPr="006D2651" w:rsidRDefault="006D2651" w:rsidP="006D2651">
            <w:pPr>
              <w:spacing w:after="0"/>
              <w:rPr>
                <w:rFonts w:ascii="Times New Roman" w:hAnsi="Times New Roman"/>
                <w:b/>
                <w:bCs/>
                <w:sz w:val="20"/>
                <w:szCs w:val="20"/>
              </w:rPr>
            </w:pPr>
            <w:r w:rsidRPr="006D2651">
              <w:rPr>
                <w:rFonts w:ascii="Times New Roman" w:hAnsi="Times New Roman"/>
                <w:sz w:val="20"/>
                <w:szCs w:val="20"/>
              </w:rPr>
              <w:t>Instrumentation; F&amp;G</w:t>
            </w:r>
          </w:p>
        </w:tc>
        <w:tc>
          <w:tcPr>
            <w:tcW w:w="2125" w:type="dxa"/>
            <w:vAlign w:val="center"/>
          </w:tcPr>
          <w:p w14:paraId="18705E1B" w14:textId="77777777" w:rsidR="006D2651" w:rsidRPr="006D2651" w:rsidRDefault="006D2651" w:rsidP="006D2651">
            <w:pPr>
              <w:spacing w:after="0"/>
              <w:jc w:val="center"/>
              <w:rPr>
                <w:rFonts w:ascii="Times New Roman" w:hAnsi="Times New Roman"/>
                <w:sz w:val="20"/>
                <w:szCs w:val="20"/>
              </w:rPr>
            </w:pPr>
          </w:p>
        </w:tc>
      </w:tr>
      <w:tr w:rsidR="006D2651" w:rsidRPr="006D2651" w14:paraId="37214A14" w14:textId="77777777" w:rsidTr="006D2651">
        <w:tc>
          <w:tcPr>
            <w:tcW w:w="763" w:type="dxa"/>
            <w:vAlign w:val="center"/>
          </w:tcPr>
          <w:p w14:paraId="339CF966"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28189D71" w14:textId="77777777" w:rsidR="006D2651" w:rsidRPr="006D2651" w:rsidRDefault="006D2651" w:rsidP="006D2651">
            <w:pPr>
              <w:spacing w:after="0"/>
              <w:rPr>
                <w:rFonts w:ascii="Times New Roman" w:hAnsi="Times New Roman"/>
                <w:sz w:val="20"/>
                <w:szCs w:val="20"/>
              </w:rPr>
            </w:pPr>
          </w:p>
        </w:tc>
        <w:tc>
          <w:tcPr>
            <w:tcW w:w="3148" w:type="dxa"/>
            <w:vAlign w:val="center"/>
          </w:tcPr>
          <w:p w14:paraId="535CB44B" w14:textId="77777777" w:rsidR="006D2651" w:rsidRPr="006D2651" w:rsidRDefault="006D2651" w:rsidP="006D2651">
            <w:pPr>
              <w:spacing w:after="0"/>
              <w:jc w:val="right"/>
              <w:rPr>
                <w:rFonts w:ascii="Times New Roman" w:hAnsi="Times New Roman"/>
                <w:b/>
                <w:sz w:val="20"/>
                <w:szCs w:val="20"/>
              </w:rPr>
            </w:pPr>
            <w:r w:rsidRPr="006D2651">
              <w:rPr>
                <w:rFonts w:ascii="Times New Roman" w:hAnsi="Times New Roman"/>
                <w:b/>
                <w:sz w:val="20"/>
                <w:szCs w:val="20"/>
              </w:rPr>
              <w:t>Sub Total</w:t>
            </w:r>
          </w:p>
        </w:tc>
        <w:tc>
          <w:tcPr>
            <w:tcW w:w="2125" w:type="dxa"/>
            <w:vAlign w:val="center"/>
          </w:tcPr>
          <w:p w14:paraId="267D7C96" w14:textId="77777777" w:rsidR="006D2651" w:rsidRPr="006D2651" w:rsidRDefault="006D2651" w:rsidP="006D2651">
            <w:pPr>
              <w:spacing w:after="0"/>
              <w:jc w:val="center"/>
              <w:rPr>
                <w:rFonts w:ascii="Times New Roman" w:hAnsi="Times New Roman"/>
                <w:sz w:val="20"/>
                <w:szCs w:val="20"/>
              </w:rPr>
            </w:pPr>
          </w:p>
        </w:tc>
      </w:tr>
      <w:tr w:rsidR="006D2651" w:rsidRPr="006D2651" w14:paraId="7A22F07B" w14:textId="77777777" w:rsidTr="006D2651">
        <w:tc>
          <w:tcPr>
            <w:tcW w:w="763" w:type="dxa"/>
            <w:vAlign w:val="center"/>
          </w:tcPr>
          <w:p w14:paraId="1323B4F7"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10.</w:t>
            </w:r>
          </w:p>
        </w:tc>
        <w:tc>
          <w:tcPr>
            <w:tcW w:w="3314" w:type="dxa"/>
            <w:vAlign w:val="center"/>
          </w:tcPr>
          <w:p w14:paraId="5BE21715"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Cathodic Protection</w:t>
            </w:r>
          </w:p>
        </w:tc>
        <w:tc>
          <w:tcPr>
            <w:tcW w:w="3148" w:type="dxa"/>
            <w:vAlign w:val="center"/>
          </w:tcPr>
          <w:p w14:paraId="0B9C790B"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0CDC4A81" w14:textId="77777777" w:rsidR="006D2651" w:rsidRPr="006D2651" w:rsidRDefault="006D2651" w:rsidP="006D2651">
            <w:pPr>
              <w:spacing w:after="0"/>
              <w:jc w:val="center"/>
              <w:rPr>
                <w:rFonts w:ascii="Times New Roman" w:hAnsi="Times New Roman"/>
                <w:sz w:val="20"/>
                <w:szCs w:val="20"/>
              </w:rPr>
            </w:pPr>
          </w:p>
        </w:tc>
      </w:tr>
      <w:tr w:rsidR="006D2651" w:rsidRPr="006D2651" w14:paraId="22AA39E1" w14:textId="77777777" w:rsidTr="006D2651">
        <w:tc>
          <w:tcPr>
            <w:tcW w:w="763" w:type="dxa"/>
            <w:vAlign w:val="center"/>
          </w:tcPr>
          <w:p w14:paraId="297092AD"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11.</w:t>
            </w:r>
          </w:p>
        </w:tc>
        <w:tc>
          <w:tcPr>
            <w:tcW w:w="3314" w:type="dxa"/>
            <w:vAlign w:val="center"/>
          </w:tcPr>
          <w:p w14:paraId="5EB7B137"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xml:space="preserve">Telecommunication and </w:t>
            </w:r>
            <w:proofErr w:type="spellStart"/>
            <w:r w:rsidRPr="006D2651">
              <w:rPr>
                <w:rFonts w:ascii="Times New Roman" w:hAnsi="Times New Roman"/>
                <w:sz w:val="20"/>
                <w:szCs w:val="20"/>
              </w:rPr>
              <w:t>Telesupervisory</w:t>
            </w:r>
            <w:proofErr w:type="spellEnd"/>
            <w:r w:rsidRPr="006D2651">
              <w:rPr>
                <w:rFonts w:ascii="Times New Roman" w:hAnsi="Times New Roman"/>
                <w:sz w:val="20"/>
                <w:szCs w:val="20"/>
              </w:rPr>
              <w:t xml:space="preserve"> (SCADA)</w:t>
            </w:r>
          </w:p>
        </w:tc>
        <w:tc>
          <w:tcPr>
            <w:tcW w:w="3148" w:type="dxa"/>
            <w:vAlign w:val="center"/>
          </w:tcPr>
          <w:p w14:paraId="481677ED"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21039CFC" w14:textId="77777777" w:rsidR="006D2651" w:rsidRPr="006D2651" w:rsidRDefault="006D2651" w:rsidP="006D2651">
            <w:pPr>
              <w:spacing w:after="0"/>
              <w:jc w:val="center"/>
              <w:rPr>
                <w:rFonts w:ascii="Times New Roman" w:hAnsi="Times New Roman"/>
                <w:sz w:val="20"/>
                <w:szCs w:val="20"/>
              </w:rPr>
            </w:pPr>
          </w:p>
        </w:tc>
      </w:tr>
      <w:tr w:rsidR="006D2651" w:rsidRPr="006D2651" w14:paraId="590D53CE" w14:textId="77777777" w:rsidTr="006D2651">
        <w:tc>
          <w:tcPr>
            <w:tcW w:w="763" w:type="dxa"/>
            <w:vAlign w:val="center"/>
          </w:tcPr>
          <w:p w14:paraId="777B2767"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4AA3A33D" w14:textId="77777777" w:rsidR="006D2651" w:rsidRPr="006D2651" w:rsidRDefault="006D2651" w:rsidP="006D2651">
            <w:pPr>
              <w:spacing w:after="0"/>
              <w:rPr>
                <w:rFonts w:ascii="Times New Roman" w:hAnsi="Times New Roman"/>
                <w:sz w:val="20"/>
                <w:szCs w:val="20"/>
              </w:rPr>
            </w:pPr>
          </w:p>
        </w:tc>
        <w:tc>
          <w:tcPr>
            <w:tcW w:w="3148" w:type="dxa"/>
            <w:vAlign w:val="center"/>
          </w:tcPr>
          <w:p w14:paraId="02BA28B7" w14:textId="77777777" w:rsidR="006D2651" w:rsidRPr="006D2651" w:rsidRDefault="006D2651" w:rsidP="006D2651">
            <w:pPr>
              <w:spacing w:after="0"/>
              <w:jc w:val="right"/>
              <w:rPr>
                <w:rFonts w:ascii="Times New Roman" w:hAnsi="Times New Roman"/>
                <w:b/>
                <w:bCs/>
                <w:sz w:val="20"/>
                <w:szCs w:val="20"/>
              </w:rPr>
            </w:pPr>
            <w:r w:rsidRPr="006D2651">
              <w:rPr>
                <w:rFonts w:ascii="Times New Roman" w:hAnsi="Times New Roman"/>
                <w:b/>
                <w:bCs/>
                <w:sz w:val="20"/>
                <w:szCs w:val="20"/>
              </w:rPr>
              <w:t>Sub Total (1-11)</w:t>
            </w:r>
          </w:p>
        </w:tc>
        <w:tc>
          <w:tcPr>
            <w:tcW w:w="2125" w:type="dxa"/>
            <w:vAlign w:val="center"/>
          </w:tcPr>
          <w:p w14:paraId="3AB8A7E2" w14:textId="77777777" w:rsidR="006D2651" w:rsidRPr="006D2651" w:rsidRDefault="006D2651" w:rsidP="006D2651">
            <w:pPr>
              <w:spacing w:after="0"/>
              <w:jc w:val="center"/>
              <w:rPr>
                <w:rFonts w:ascii="Times New Roman" w:hAnsi="Times New Roman"/>
                <w:sz w:val="20"/>
                <w:szCs w:val="20"/>
              </w:rPr>
            </w:pPr>
          </w:p>
        </w:tc>
      </w:tr>
      <w:tr w:rsidR="006D2651" w:rsidRPr="006D2651" w14:paraId="42F5D914" w14:textId="77777777" w:rsidTr="006D2651">
        <w:tc>
          <w:tcPr>
            <w:tcW w:w="763" w:type="dxa"/>
            <w:vAlign w:val="center"/>
          </w:tcPr>
          <w:p w14:paraId="6F54FA59"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12.</w:t>
            </w:r>
          </w:p>
        </w:tc>
        <w:tc>
          <w:tcPr>
            <w:tcW w:w="3314" w:type="dxa"/>
            <w:vAlign w:val="center"/>
          </w:tcPr>
          <w:p w14:paraId="2A15137B"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xml:space="preserve">Contingencies </w:t>
            </w:r>
          </w:p>
        </w:tc>
        <w:tc>
          <w:tcPr>
            <w:tcW w:w="3148" w:type="dxa"/>
            <w:vAlign w:val="center"/>
          </w:tcPr>
          <w:p w14:paraId="059925F0"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5F5109E7" w14:textId="77777777" w:rsidR="006D2651" w:rsidRPr="006D2651" w:rsidRDefault="006D2651" w:rsidP="006D2651">
            <w:pPr>
              <w:spacing w:after="0"/>
              <w:jc w:val="center"/>
              <w:rPr>
                <w:rFonts w:ascii="Times New Roman" w:hAnsi="Times New Roman"/>
                <w:sz w:val="20"/>
                <w:szCs w:val="20"/>
              </w:rPr>
            </w:pPr>
          </w:p>
        </w:tc>
      </w:tr>
      <w:tr w:rsidR="006D2651" w:rsidRPr="006D2651" w14:paraId="349B6122" w14:textId="77777777" w:rsidTr="006D2651">
        <w:tc>
          <w:tcPr>
            <w:tcW w:w="763" w:type="dxa"/>
            <w:vAlign w:val="center"/>
          </w:tcPr>
          <w:p w14:paraId="6C95BF43"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13.</w:t>
            </w:r>
          </w:p>
        </w:tc>
        <w:tc>
          <w:tcPr>
            <w:tcW w:w="3314" w:type="dxa"/>
            <w:vAlign w:val="center"/>
          </w:tcPr>
          <w:p w14:paraId="47D755DD"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xml:space="preserve">Project Management and Engineering, Insurance </w:t>
            </w:r>
          </w:p>
        </w:tc>
        <w:tc>
          <w:tcPr>
            <w:tcW w:w="3148" w:type="dxa"/>
            <w:vAlign w:val="center"/>
          </w:tcPr>
          <w:p w14:paraId="2B05E81D"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1CA6586F" w14:textId="77777777" w:rsidR="006D2651" w:rsidRPr="006D2651" w:rsidRDefault="006D2651" w:rsidP="006D2651">
            <w:pPr>
              <w:spacing w:after="0"/>
              <w:jc w:val="center"/>
              <w:rPr>
                <w:rFonts w:ascii="Times New Roman" w:hAnsi="Times New Roman"/>
                <w:sz w:val="20"/>
                <w:szCs w:val="20"/>
              </w:rPr>
            </w:pPr>
          </w:p>
        </w:tc>
      </w:tr>
      <w:tr w:rsidR="006D2651" w:rsidRPr="006D2651" w14:paraId="03B0B566" w14:textId="77777777" w:rsidTr="006D2651">
        <w:tc>
          <w:tcPr>
            <w:tcW w:w="763" w:type="dxa"/>
            <w:vAlign w:val="center"/>
          </w:tcPr>
          <w:p w14:paraId="47EA21C7"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14.</w:t>
            </w:r>
          </w:p>
        </w:tc>
        <w:tc>
          <w:tcPr>
            <w:tcW w:w="3314" w:type="dxa"/>
            <w:vAlign w:val="center"/>
          </w:tcPr>
          <w:p w14:paraId="7C1EB39E"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Corporate Environmental Responsibility</w:t>
            </w:r>
          </w:p>
        </w:tc>
        <w:tc>
          <w:tcPr>
            <w:tcW w:w="3148" w:type="dxa"/>
            <w:vAlign w:val="center"/>
          </w:tcPr>
          <w:p w14:paraId="40DDBCEB"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15A55B6A" w14:textId="77777777" w:rsidR="006D2651" w:rsidRPr="006D2651" w:rsidRDefault="006D2651" w:rsidP="006D2651">
            <w:pPr>
              <w:spacing w:after="0"/>
              <w:jc w:val="center"/>
              <w:rPr>
                <w:rFonts w:ascii="Times New Roman" w:hAnsi="Times New Roman"/>
                <w:sz w:val="20"/>
                <w:szCs w:val="20"/>
              </w:rPr>
            </w:pPr>
          </w:p>
        </w:tc>
      </w:tr>
      <w:tr w:rsidR="006D2651" w:rsidRPr="006D2651" w14:paraId="0FD3DEB0" w14:textId="77777777" w:rsidTr="006D2651">
        <w:tc>
          <w:tcPr>
            <w:tcW w:w="763" w:type="dxa"/>
            <w:vAlign w:val="center"/>
          </w:tcPr>
          <w:p w14:paraId="2D2BACE6"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7F94B8C9" w14:textId="77777777" w:rsidR="006D2651" w:rsidRPr="006D2651" w:rsidRDefault="006D2651" w:rsidP="006D2651">
            <w:pPr>
              <w:spacing w:after="0"/>
              <w:rPr>
                <w:rFonts w:ascii="Times New Roman" w:hAnsi="Times New Roman"/>
                <w:sz w:val="20"/>
                <w:szCs w:val="20"/>
              </w:rPr>
            </w:pPr>
          </w:p>
        </w:tc>
        <w:tc>
          <w:tcPr>
            <w:tcW w:w="3148" w:type="dxa"/>
            <w:vAlign w:val="center"/>
          </w:tcPr>
          <w:p w14:paraId="0781F0EE" w14:textId="77777777" w:rsidR="006D2651" w:rsidRPr="006D2651" w:rsidRDefault="006D2651" w:rsidP="006D2651">
            <w:pPr>
              <w:spacing w:after="0"/>
              <w:rPr>
                <w:rFonts w:ascii="Times New Roman" w:hAnsi="Times New Roman"/>
                <w:b/>
                <w:bCs/>
                <w:sz w:val="20"/>
                <w:szCs w:val="20"/>
              </w:rPr>
            </w:pPr>
            <w:r w:rsidRPr="006D2651">
              <w:rPr>
                <w:rFonts w:ascii="Times New Roman" w:hAnsi="Times New Roman"/>
                <w:b/>
                <w:bCs/>
                <w:sz w:val="20"/>
                <w:szCs w:val="20"/>
              </w:rPr>
              <w:t>Total Project Cost w/o IDC and Margin Money</w:t>
            </w:r>
          </w:p>
        </w:tc>
        <w:tc>
          <w:tcPr>
            <w:tcW w:w="2125" w:type="dxa"/>
            <w:vAlign w:val="center"/>
          </w:tcPr>
          <w:p w14:paraId="1F04A252" w14:textId="77777777" w:rsidR="006D2651" w:rsidRPr="006D2651" w:rsidRDefault="006D2651" w:rsidP="006D2651">
            <w:pPr>
              <w:spacing w:after="0"/>
              <w:jc w:val="center"/>
              <w:rPr>
                <w:rFonts w:ascii="Times New Roman" w:hAnsi="Times New Roman"/>
                <w:sz w:val="20"/>
                <w:szCs w:val="20"/>
              </w:rPr>
            </w:pPr>
          </w:p>
        </w:tc>
      </w:tr>
      <w:tr w:rsidR="006D2651" w:rsidRPr="006D2651" w14:paraId="2A540EB2" w14:textId="77777777" w:rsidTr="006D2651">
        <w:tc>
          <w:tcPr>
            <w:tcW w:w="763" w:type="dxa"/>
            <w:vAlign w:val="center"/>
          </w:tcPr>
          <w:p w14:paraId="4E12B09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15.</w:t>
            </w:r>
          </w:p>
        </w:tc>
        <w:tc>
          <w:tcPr>
            <w:tcW w:w="3314" w:type="dxa"/>
            <w:vAlign w:val="center"/>
          </w:tcPr>
          <w:p w14:paraId="3E0CB871"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Interest During Construction (IDC)</w:t>
            </w:r>
          </w:p>
        </w:tc>
        <w:tc>
          <w:tcPr>
            <w:tcW w:w="3148" w:type="dxa"/>
            <w:vAlign w:val="center"/>
          </w:tcPr>
          <w:p w14:paraId="090C9401"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4296B2BF" w14:textId="77777777" w:rsidR="006D2651" w:rsidRPr="006D2651" w:rsidRDefault="006D2651" w:rsidP="006D2651">
            <w:pPr>
              <w:spacing w:after="0"/>
              <w:jc w:val="center"/>
              <w:rPr>
                <w:rFonts w:ascii="Times New Roman" w:hAnsi="Times New Roman"/>
                <w:sz w:val="20"/>
                <w:szCs w:val="20"/>
              </w:rPr>
            </w:pPr>
          </w:p>
        </w:tc>
      </w:tr>
      <w:tr w:rsidR="006D2651" w:rsidRPr="006D2651" w14:paraId="735DF739" w14:textId="77777777" w:rsidTr="006D2651">
        <w:tc>
          <w:tcPr>
            <w:tcW w:w="763" w:type="dxa"/>
            <w:vAlign w:val="center"/>
          </w:tcPr>
          <w:p w14:paraId="75C49D2D"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16</w:t>
            </w:r>
          </w:p>
        </w:tc>
        <w:tc>
          <w:tcPr>
            <w:tcW w:w="3314" w:type="dxa"/>
            <w:vAlign w:val="center"/>
          </w:tcPr>
          <w:p w14:paraId="12CEB160"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Margin money for working capital</w:t>
            </w:r>
          </w:p>
        </w:tc>
        <w:tc>
          <w:tcPr>
            <w:tcW w:w="3148" w:type="dxa"/>
            <w:vAlign w:val="center"/>
          </w:tcPr>
          <w:p w14:paraId="1E776441" w14:textId="77777777" w:rsidR="006D2651" w:rsidRPr="006D2651" w:rsidRDefault="006D2651" w:rsidP="006D2651">
            <w:pPr>
              <w:spacing w:after="0"/>
              <w:jc w:val="right"/>
              <w:rPr>
                <w:rFonts w:ascii="Times New Roman" w:hAnsi="Times New Roman"/>
                <w:b/>
                <w:bCs/>
                <w:sz w:val="20"/>
                <w:szCs w:val="20"/>
              </w:rPr>
            </w:pPr>
          </w:p>
        </w:tc>
        <w:tc>
          <w:tcPr>
            <w:tcW w:w="2125" w:type="dxa"/>
            <w:vAlign w:val="center"/>
          </w:tcPr>
          <w:p w14:paraId="654DC3D0" w14:textId="77777777" w:rsidR="006D2651" w:rsidRPr="006D2651" w:rsidRDefault="006D2651" w:rsidP="006D2651">
            <w:pPr>
              <w:spacing w:after="0"/>
              <w:jc w:val="center"/>
              <w:rPr>
                <w:rFonts w:ascii="Times New Roman" w:hAnsi="Times New Roman"/>
                <w:sz w:val="20"/>
                <w:szCs w:val="20"/>
              </w:rPr>
            </w:pPr>
          </w:p>
        </w:tc>
      </w:tr>
      <w:tr w:rsidR="006D2651" w:rsidRPr="006D2651" w14:paraId="3B669EC2" w14:textId="77777777" w:rsidTr="006D2651">
        <w:tc>
          <w:tcPr>
            <w:tcW w:w="763" w:type="dxa"/>
            <w:vAlign w:val="center"/>
          </w:tcPr>
          <w:p w14:paraId="76E23ECA" w14:textId="77777777" w:rsidR="006D2651" w:rsidRPr="006D2651" w:rsidRDefault="006D2651" w:rsidP="006D2651">
            <w:pPr>
              <w:spacing w:after="0"/>
              <w:jc w:val="center"/>
              <w:rPr>
                <w:rFonts w:ascii="Times New Roman" w:hAnsi="Times New Roman"/>
                <w:sz w:val="20"/>
                <w:szCs w:val="20"/>
              </w:rPr>
            </w:pPr>
          </w:p>
        </w:tc>
        <w:tc>
          <w:tcPr>
            <w:tcW w:w="3314" w:type="dxa"/>
            <w:vAlign w:val="center"/>
          </w:tcPr>
          <w:p w14:paraId="608FB99A" w14:textId="77777777" w:rsidR="006D2651" w:rsidRPr="006D2651" w:rsidRDefault="006D2651" w:rsidP="006D2651">
            <w:pPr>
              <w:spacing w:after="0"/>
              <w:rPr>
                <w:rFonts w:ascii="Times New Roman" w:hAnsi="Times New Roman"/>
                <w:sz w:val="20"/>
                <w:szCs w:val="20"/>
              </w:rPr>
            </w:pPr>
          </w:p>
        </w:tc>
        <w:tc>
          <w:tcPr>
            <w:tcW w:w="3148" w:type="dxa"/>
            <w:vAlign w:val="center"/>
          </w:tcPr>
          <w:p w14:paraId="04D02A48" w14:textId="77777777" w:rsidR="006D2651" w:rsidRPr="006D2651" w:rsidRDefault="006D2651" w:rsidP="006D2651">
            <w:pPr>
              <w:spacing w:after="0"/>
              <w:jc w:val="right"/>
              <w:rPr>
                <w:rFonts w:ascii="Times New Roman" w:hAnsi="Times New Roman"/>
                <w:b/>
                <w:bCs/>
                <w:sz w:val="20"/>
                <w:szCs w:val="20"/>
              </w:rPr>
            </w:pPr>
            <w:r w:rsidRPr="006D2651">
              <w:rPr>
                <w:rFonts w:ascii="Times New Roman" w:hAnsi="Times New Roman"/>
                <w:b/>
                <w:bCs/>
                <w:sz w:val="20"/>
                <w:szCs w:val="20"/>
              </w:rPr>
              <w:t xml:space="preserve">Total Project Cost </w:t>
            </w:r>
          </w:p>
        </w:tc>
        <w:tc>
          <w:tcPr>
            <w:tcW w:w="2125" w:type="dxa"/>
            <w:vAlign w:val="center"/>
          </w:tcPr>
          <w:p w14:paraId="40F2BDC2" w14:textId="77777777" w:rsidR="006D2651" w:rsidRPr="006D2651" w:rsidRDefault="006D2651" w:rsidP="006D2651">
            <w:pPr>
              <w:spacing w:after="0"/>
              <w:jc w:val="center"/>
              <w:rPr>
                <w:rFonts w:ascii="Times New Roman" w:hAnsi="Times New Roman"/>
                <w:sz w:val="20"/>
                <w:szCs w:val="20"/>
              </w:rPr>
            </w:pPr>
          </w:p>
        </w:tc>
      </w:tr>
    </w:tbl>
    <w:p w14:paraId="6AE545CD" w14:textId="77777777" w:rsidR="006D2651" w:rsidRPr="006D2651" w:rsidRDefault="006D2651" w:rsidP="006D2651">
      <w:pPr>
        <w:jc w:val="center"/>
        <w:rPr>
          <w:rFonts w:ascii="Times New Roman" w:hAnsi="Times New Roman"/>
          <w:b/>
          <w:bCs/>
          <w:sz w:val="20"/>
          <w:szCs w:val="20"/>
        </w:rPr>
      </w:pPr>
    </w:p>
    <w:p w14:paraId="78A83BC6" w14:textId="77777777" w:rsidR="00C34994" w:rsidRDefault="00C34994" w:rsidP="006D2651">
      <w:pPr>
        <w:jc w:val="center"/>
        <w:rPr>
          <w:rFonts w:ascii="Times New Roman" w:hAnsi="Times New Roman"/>
          <w:b/>
          <w:bCs/>
          <w:sz w:val="20"/>
          <w:szCs w:val="20"/>
        </w:rPr>
      </w:pPr>
    </w:p>
    <w:p w14:paraId="78B3B4B1" w14:textId="0DD327BD"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1(a)</w:t>
      </w:r>
    </w:p>
    <w:p w14:paraId="2127E7CF"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Format for Survey Expenses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650"/>
        <w:gridCol w:w="1457"/>
      </w:tblGrid>
      <w:tr w:rsidR="006D2651" w:rsidRPr="006D2651" w14:paraId="7E92AFEE" w14:textId="77777777" w:rsidTr="006D2651">
        <w:trPr>
          <w:trHeight w:val="350"/>
        </w:trPr>
        <w:tc>
          <w:tcPr>
            <w:tcW w:w="630" w:type="dxa"/>
            <w:shd w:val="clear" w:color="000000" w:fill="auto"/>
            <w:noWrap/>
            <w:vAlign w:val="bottom"/>
          </w:tcPr>
          <w:p w14:paraId="12F4AD45"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S No.</w:t>
            </w:r>
          </w:p>
        </w:tc>
        <w:tc>
          <w:tcPr>
            <w:tcW w:w="7650" w:type="dxa"/>
            <w:shd w:val="clear" w:color="000000" w:fill="auto"/>
            <w:vAlign w:val="center"/>
          </w:tcPr>
          <w:p w14:paraId="4FA7E4F7"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hAnsi="Times New Roman"/>
                <w:b/>
                <w:sz w:val="20"/>
                <w:szCs w:val="20"/>
              </w:rPr>
              <w:t>Description of items</w:t>
            </w:r>
          </w:p>
        </w:tc>
        <w:tc>
          <w:tcPr>
            <w:tcW w:w="1457" w:type="dxa"/>
            <w:shd w:val="clear" w:color="000000" w:fill="auto"/>
            <w:vAlign w:val="bottom"/>
          </w:tcPr>
          <w:p w14:paraId="7707BAB5" w14:textId="77777777" w:rsidR="006D2651" w:rsidRPr="006D2651" w:rsidRDefault="006D2651" w:rsidP="006D2651">
            <w:pPr>
              <w:spacing w:after="0"/>
              <w:rPr>
                <w:rFonts w:ascii="Times New Roman" w:eastAsia="Times New Roman" w:hAnsi="Times New Roman"/>
                <w:b/>
                <w:bCs/>
                <w:color w:val="000000"/>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6820DDCB" w14:textId="77777777" w:rsidTr="006D2651">
        <w:trPr>
          <w:trHeight w:val="421"/>
        </w:trPr>
        <w:tc>
          <w:tcPr>
            <w:tcW w:w="630" w:type="dxa"/>
            <w:shd w:val="clear" w:color="auto" w:fill="auto"/>
            <w:noWrap/>
            <w:hideMark/>
          </w:tcPr>
          <w:p w14:paraId="5C74392B" w14:textId="77777777" w:rsidR="006D2651" w:rsidRPr="006D2651" w:rsidRDefault="006D2651" w:rsidP="006D2651">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1</w:t>
            </w:r>
          </w:p>
        </w:tc>
        <w:tc>
          <w:tcPr>
            <w:tcW w:w="7650" w:type="dxa"/>
            <w:shd w:val="clear" w:color="auto" w:fill="auto"/>
            <w:hideMark/>
          </w:tcPr>
          <w:p w14:paraId="71C1FC43" w14:textId="77777777" w:rsidR="006D2651" w:rsidRPr="006D2651" w:rsidRDefault="006D2651" w:rsidP="006D2651">
            <w:pPr>
              <w:spacing w:after="0"/>
              <w:rPr>
                <w:rFonts w:ascii="Times New Roman" w:eastAsia="Times New Roman" w:hAnsi="Times New Roman"/>
                <w:sz w:val="20"/>
                <w:szCs w:val="20"/>
              </w:rPr>
            </w:pPr>
            <w:r w:rsidRPr="006D2651">
              <w:rPr>
                <w:rFonts w:ascii="Times New Roman" w:eastAsia="Times New Roman" w:hAnsi="Times New Roman"/>
                <w:color w:val="000000"/>
                <w:sz w:val="20"/>
                <w:szCs w:val="20"/>
              </w:rPr>
              <w:t>Reconnaissance Survey</w:t>
            </w:r>
          </w:p>
        </w:tc>
        <w:tc>
          <w:tcPr>
            <w:tcW w:w="1457" w:type="dxa"/>
            <w:shd w:val="clear" w:color="auto" w:fill="auto"/>
            <w:noWrap/>
          </w:tcPr>
          <w:p w14:paraId="39F787C8" w14:textId="77777777" w:rsidR="006D2651" w:rsidRPr="006D2651" w:rsidRDefault="006D2651" w:rsidP="006D2651">
            <w:pPr>
              <w:spacing w:after="0"/>
              <w:jc w:val="center"/>
              <w:rPr>
                <w:rFonts w:ascii="Times New Roman" w:eastAsia="Times New Roman" w:hAnsi="Times New Roman"/>
                <w:sz w:val="20"/>
                <w:szCs w:val="20"/>
              </w:rPr>
            </w:pPr>
          </w:p>
        </w:tc>
      </w:tr>
      <w:tr w:rsidR="006D2651" w:rsidRPr="006D2651" w14:paraId="4E2A99DB" w14:textId="77777777" w:rsidTr="006D2651">
        <w:trPr>
          <w:trHeight w:val="412"/>
        </w:trPr>
        <w:tc>
          <w:tcPr>
            <w:tcW w:w="630" w:type="dxa"/>
            <w:shd w:val="clear" w:color="auto" w:fill="auto"/>
            <w:noWrap/>
            <w:hideMark/>
          </w:tcPr>
          <w:p w14:paraId="4FE9A24A" w14:textId="77777777" w:rsidR="006D2651" w:rsidRPr="006D2651" w:rsidRDefault="006D2651" w:rsidP="006D2651">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2</w:t>
            </w:r>
          </w:p>
        </w:tc>
        <w:tc>
          <w:tcPr>
            <w:tcW w:w="7650" w:type="dxa"/>
            <w:shd w:val="clear" w:color="auto" w:fill="auto"/>
            <w:hideMark/>
          </w:tcPr>
          <w:p w14:paraId="5103E027" w14:textId="77777777" w:rsidR="006D2651" w:rsidRPr="006D2651" w:rsidRDefault="006D2651" w:rsidP="006D2651">
            <w:pPr>
              <w:spacing w:after="0"/>
              <w:rPr>
                <w:rFonts w:ascii="Times New Roman" w:eastAsia="Times New Roman" w:hAnsi="Times New Roman"/>
                <w:sz w:val="20"/>
                <w:szCs w:val="20"/>
              </w:rPr>
            </w:pPr>
            <w:r w:rsidRPr="006D2651">
              <w:rPr>
                <w:rFonts w:ascii="Times New Roman" w:eastAsia="Times New Roman" w:hAnsi="Times New Roman"/>
                <w:sz w:val="20"/>
                <w:szCs w:val="20"/>
              </w:rPr>
              <w:t>Population Density Index</w:t>
            </w:r>
          </w:p>
        </w:tc>
        <w:tc>
          <w:tcPr>
            <w:tcW w:w="1457" w:type="dxa"/>
            <w:shd w:val="clear" w:color="auto" w:fill="auto"/>
            <w:noWrap/>
          </w:tcPr>
          <w:p w14:paraId="1CBB07E5" w14:textId="77777777" w:rsidR="006D2651" w:rsidRPr="006D2651" w:rsidRDefault="006D2651" w:rsidP="006D2651">
            <w:pPr>
              <w:spacing w:after="0"/>
              <w:jc w:val="center"/>
              <w:outlineLvl w:val="0"/>
              <w:rPr>
                <w:rFonts w:ascii="Times New Roman" w:eastAsia="Times New Roman" w:hAnsi="Times New Roman"/>
                <w:sz w:val="20"/>
                <w:szCs w:val="20"/>
              </w:rPr>
            </w:pPr>
          </w:p>
        </w:tc>
      </w:tr>
      <w:tr w:rsidR="006D2651" w:rsidRPr="006D2651" w14:paraId="6933D07C" w14:textId="77777777" w:rsidTr="006D2651">
        <w:trPr>
          <w:trHeight w:val="433"/>
        </w:trPr>
        <w:tc>
          <w:tcPr>
            <w:tcW w:w="630" w:type="dxa"/>
            <w:shd w:val="clear" w:color="auto" w:fill="auto"/>
            <w:noWrap/>
            <w:hideMark/>
          </w:tcPr>
          <w:p w14:paraId="535D5334" w14:textId="77777777" w:rsidR="006D2651" w:rsidRPr="006D2651" w:rsidRDefault="006D2651" w:rsidP="006D2651">
            <w:pPr>
              <w:spacing w:after="0"/>
              <w:jc w:val="center"/>
              <w:outlineLvl w:val="1"/>
              <w:rPr>
                <w:rFonts w:ascii="Times New Roman" w:eastAsia="Times New Roman" w:hAnsi="Times New Roman"/>
                <w:b/>
                <w:bCs/>
                <w:sz w:val="20"/>
                <w:szCs w:val="20"/>
              </w:rPr>
            </w:pPr>
            <w:r w:rsidRPr="006D2651">
              <w:rPr>
                <w:rFonts w:ascii="Times New Roman" w:eastAsia="Times New Roman" w:hAnsi="Times New Roman"/>
                <w:b/>
                <w:bCs/>
                <w:sz w:val="20"/>
                <w:szCs w:val="20"/>
              </w:rPr>
              <w:t>3</w:t>
            </w:r>
          </w:p>
        </w:tc>
        <w:tc>
          <w:tcPr>
            <w:tcW w:w="7650" w:type="dxa"/>
            <w:shd w:val="clear" w:color="auto" w:fill="auto"/>
            <w:hideMark/>
          </w:tcPr>
          <w:p w14:paraId="3E4DDA44" w14:textId="77777777" w:rsidR="006D2651" w:rsidRPr="006D2651" w:rsidRDefault="006D2651" w:rsidP="006D2651">
            <w:pPr>
              <w:spacing w:after="0"/>
              <w:outlineLvl w:val="1"/>
              <w:rPr>
                <w:rFonts w:ascii="Times New Roman" w:eastAsia="Times New Roman" w:hAnsi="Times New Roman"/>
                <w:sz w:val="20"/>
                <w:szCs w:val="20"/>
              </w:rPr>
            </w:pPr>
            <w:r w:rsidRPr="006D2651">
              <w:rPr>
                <w:rFonts w:ascii="Times New Roman" w:eastAsia="Times New Roman" w:hAnsi="Times New Roman"/>
                <w:color w:val="000000"/>
                <w:sz w:val="20"/>
                <w:szCs w:val="20"/>
              </w:rPr>
              <w:t>Detailed Engineering Survey</w:t>
            </w:r>
          </w:p>
        </w:tc>
        <w:tc>
          <w:tcPr>
            <w:tcW w:w="1457" w:type="dxa"/>
            <w:shd w:val="clear" w:color="auto" w:fill="auto"/>
            <w:noWrap/>
          </w:tcPr>
          <w:p w14:paraId="4BBB3D84" w14:textId="77777777" w:rsidR="006D2651" w:rsidRPr="006D2651" w:rsidRDefault="006D2651" w:rsidP="006D2651">
            <w:pPr>
              <w:spacing w:after="0"/>
              <w:jc w:val="center"/>
              <w:outlineLvl w:val="1"/>
              <w:rPr>
                <w:rFonts w:ascii="Times New Roman" w:eastAsia="Times New Roman" w:hAnsi="Times New Roman"/>
                <w:sz w:val="20"/>
                <w:szCs w:val="20"/>
              </w:rPr>
            </w:pPr>
          </w:p>
        </w:tc>
      </w:tr>
      <w:tr w:rsidR="006D2651" w:rsidRPr="006D2651" w14:paraId="18D47B7A" w14:textId="77777777" w:rsidTr="006D2651">
        <w:trPr>
          <w:trHeight w:val="552"/>
        </w:trPr>
        <w:tc>
          <w:tcPr>
            <w:tcW w:w="630" w:type="dxa"/>
            <w:shd w:val="clear" w:color="auto" w:fill="auto"/>
            <w:noWrap/>
            <w:hideMark/>
          </w:tcPr>
          <w:p w14:paraId="03D21598" w14:textId="77777777" w:rsidR="006D2651" w:rsidRPr="006D2651" w:rsidRDefault="006D2651" w:rsidP="006D2651">
            <w:pPr>
              <w:spacing w:after="0"/>
              <w:jc w:val="center"/>
              <w:outlineLvl w:val="1"/>
              <w:rPr>
                <w:rFonts w:ascii="Times New Roman" w:eastAsia="Times New Roman" w:hAnsi="Times New Roman"/>
                <w:b/>
                <w:bCs/>
                <w:sz w:val="20"/>
                <w:szCs w:val="20"/>
              </w:rPr>
            </w:pPr>
            <w:r w:rsidRPr="006D2651">
              <w:rPr>
                <w:rFonts w:ascii="Times New Roman" w:eastAsia="Times New Roman" w:hAnsi="Times New Roman"/>
                <w:b/>
                <w:bCs/>
                <w:sz w:val="20"/>
                <w:szCs w:val="20"/>
              </w:rPr>
              <w:t>4</w:t>
            </w:r>
          </w:p>
        </w:tc>
        <w:tc>
          <w:tcPr>
            <w:tcW w:w="7650" w:type="dxa"/>
            <w:shd w:val="clear" w:color="auto" w:fill="auto"/>
            <w:hideMark/>
          </w:tcPr>
          <w:p w14:paraId="2D9314F4" w14:textId="77777777" w:rsidR="006D2651" w:rsidRPr="006D2651" w:rsidRDefault="006D2651" w:rsidP="006D2651">
            <w:pPr>
              <w:spacing w:after="0"/>
              <w:outlineLvl w:val="1"/>
              <w:rPr>
                <w:rFonts w:ascii="Times New Roman" w:eastAsia="Times New Roman" w:hAnsi="Times New Roman"/>
                <w:sz w:val="20"/>
                <w:szCs w:val="20"/>
              </w:rPr>
            </w:pPr>
            <w:r w:rsidRPr="006D2651">
              <w:rPr>
                <w:rFonts w:ascii="Times New Roman" w:eastAsia="Times New Roman" w:hAnsi="Times New Roman"/>
                <w:color w:val="000000"/>
                <w:sz w:val="20"/>
                <w:szCs w:val="20"/>
              </w:rPr>
              <w:t>Other Survey, if any (please specify the name of each survey and its cost)</w:t>
            </w:r>
          </w:p>
        </w:tc>
        <w:tc>
          <w:tcPr>
            <w:tcW w:w="1457" w:type="dxa"/>
            <w:shd w:val="clear" w:color="auto" w:fill="auto"/>
            <w:noWrap/>
          </w:tcPr>
          <w:p w14:paraId="7E9798F9" w14:textId="77777777" w:rsidR="006D2651" w:rsidRPr="006D2651" w:rsidRDefault="006D2651" w:rsidP="006D2651">
            <w:pPr>
              <w:spacing w:after="0"/>
              <w:jc w:val="center"/>
              <w:outlineLvl w:val="1"/>
              <w:rPr>
                <w:rFonts w:ascii="Times New Roman" w:eastAsia="Times New Roman" w:hAnsi="Times New Roman"/>
                <w:sz w:val="20"/>
                <w:szCs w:val="20"/>
              </w:rPr>
            </w:pPr>
          </w:p>
        </w:tc>
      </w:tr>
    </w:tbl>
    <w:p w14:paraId="2A91A3E7" w14:textId="77777777" w:rsidR="006D2651" w:rsidRPr="006D2651" w:rsidRDefault="006D2651" w:rsidP="006D2651">
      <w:pPr>
        <w:rPr>
          <w:rFonts w:ascii="Times New Roman" w:hAnsi="Times New Roman"/>
          <w:sz w:val="20"/>
          <w:szCs w:val="20"/>
        </w:rPr>
      </w:pPr>
    </w:p>
    <w:p w14:paraId="3049B1AE"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1(b)</w:t>
      </w:r>
    </w:p>
    <w:tbl>
      <w:tblPr>
        <w:tblStyle w:val="TableGrid"/>
        <w:tblW w:w="0" w:type="auto"/>
        <w:tblLook w:val="04A0" w:firstRow="1" w:lastRow="0" w:firstColumn="1" w:lastColumn="0" w:noHBand="0" w:noVBand="1"/>
      </w:tblPr>
      <w:tblGrid>
        <w:gridCol w:w="805"/>
        <w:gridCol w:w="4289"/>
        <w:gridCol w:w="1422"/>
      </w:tblGrid>
      <w:tr w:rsidR="006D2651" w:rsidRPr="006D2651" w14:paraId="1D8CD879" w14:textId="77777777" w:rsidTr="006D2651">
        <w:tc>
          <w:tcPr>
            <w:tcW w:w="805" w:type="dxa"/>
          </w:tcPr>
          <w:p w14:paraId="1632351C"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S. No</w:t>
            </w:r>
          </w:p>
        </w:tc>
        <w:tc>
          <w:tcPr>
            <w:tcW w:w="4289" w:type="dxa"/>
          </w:tcPr>
          <w:p w14:paraId="1F2C1EEF"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Details</w:t>
            </w:r>
          </w:p>
        </w:tc>
        <w:tc>
          <w:tcPr>
            <w:tcW w:w="1422" w:type="dxa"/>
          </w:tcPr>
          <w:p w14:paraId="7AAB6D4B"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7406FEF3" w14:textId="77777777" w:rsidTr="006D2651">
        <w:tc>
          <w:tcPr>
            <w:tcW w:w="805" w:type="dxa"/>
          </w:tcPr>
          <w:p w14:paraId="3F59681C"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1</w:t>
            </w:r>
          </w:p>
        </w:tc>
        <w:tc>
          <w:tcPr>
            <w:tcW w:w="4289" w:type="dxa"/>
          </w:tcPr>
          <w:p w14:paraId="63FBBEF4"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Land requirement for colonies/townships</w:t>
            </w:r>
          </w:p>
        </w:tc>
        <w:tc>
          <w:tcPr>
            <w:tcW w:w="1422" w:type="dxa"/>
          </w:tcPr>
          <w:p w14:paraId="4BD98D1A"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69BBAB06" w14:textId="77777777" w:rsidTr="006D2651">
        <w:tc>
          <w:tcPr>
            <w:tcW w:w="805" w:type="dxa"/>
          </w:tcPr>
          <w:p w14:paraId="4B6FAEAE"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2</w:t>
            </w:r>
          </w:p>
        </w:tc>
        <w:tc>
          <w:tcPr>
            <w:tcW w:w="4289" w:type="dxa"/>
          </w:tcPr>
          <w:p w14:paraId="168D3389"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Land (Others to be specified)</w:t>
            </w:r>
          </w:p>
        </w:tc>
        <w:tc>
          <w:tcPr>
            <w:tcW w:w="1422" w:type="dxa"/>
          </w:tcPr>
          <w:p w14:paraId="41FEDEF1" w14:textId="77777777" w:rsidR="006D2651" w:rsidRPr="006D2651" w:rsidRDefault="006D2651" w:rsidP="006D2651">
            <w:pPr>
              <w:spacing w:after="0"/>
              <w:jc w:val="center"/>
              <w:rPr>
                <w:rFonts w:ascii="Times New Roman" w:hAnsi="Times New Roman"/>
                <w:b/>
                <w:bCs/>
                <w:sz w:val="20"/>
                <w:szCs w:val="20"/>
              </w:rPr>
            </w:pPr>
          </w:p>
        </w:tc>
      </w:tr>
    </w:tbl>
    <w:p w14:paraId="4127F6E6" w14:textId="68B2F947" w:rsidR="0099442F" w:rsidRDefault="0099442F" w:rsidP="006D2651">
      <w:pPr>
        <w:jc w:val="center"/>
        <w:rPr>
          <w:rFonts w:ascii="Times New Roman" w:hAnsi="Times New Roman"/>
          <w:b/>
          <w:bCs/>
          <w:sz w:val="20"/>
          <w:szCs w:val="20"/>
        </w:rPr>
      </w:pPr>
    </w:p>
    <w:p w14:paraId="25013C7E" w14:textId="1E731CE3"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1(c)</w:t>
      </w:r>
    </w:p>
    <w:tbl>
      <w:tblPr>
        <w:tblStyle w:val="TableGrid"/>
        <w:tblW w:w="0" w:type="auto"/>
        <w:tblLook w:val="04A0" w:firstRow="1" w:lastRow="0" w:firstColumn="1" w:lastColumn="0" w:noHBand="0" w:noVBand="1"/>
      </w:tblPr>
      <w:tblGrid>
        <w:gridCol w:w="805"/>
        <w:gridCol w:w="2183"/>
        <w:gridCol w:w="2110"/>
        <w:gridCol w:w="1560"/>
      </w:tblGrid>
      <w:tr w:rsidR="006D2651" w:rsidRPr="006D2651" w14:paraId="7F0AE29C" w14:textId="77777777" w:rsidTr="006D2651">
        <w:trPr>
          <w:trHeight w:val="480"/>
        </w:trPr>
        <w:tc>
          <w:tcPr>
            <w:tcW w:w="805" w:type="dxa"/>
          </w:tcPr>
          <w:p w14:paraId="3B7A7375"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S. No</w:t>
            </w:r>
          </w:p>
        </w:tc>
        <w:tc>
          <w:tcPr>
            <w:tcW w:w="2183" w:type="dxa"/>
          </w:tcPr>
          <w:p w14:paraId="63AC267E"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Pipeline Diameter</w:t>
            </w:r>
          </w:p>
        </w:tc>
        <w:tc>
          <w:tcPr>
            <w:tcW w:w="2110" w:type="dxa"/>
          </w:tcPr>
          <w:p w14:paraId="5E4DAB8E"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Qty (km)</w:t>
            </w:r>
          </w:p>
        </w:tc>
        <w:tc>
          <w:tcPr>
            <w:tcW w:w="1560" w:type="dxa"/>
          </w:tcPr>
          <w:p w14:paraId="64BB431F"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4D4D38A7" w14:textId="77777777" w:rsidTr="006D2651">
        <w:trPr>
          <w:trHeight w:val="476"/>
        </w:trPr>
        <w:tc>
          <w:tcPr>
            <w:tcW w:w="805" w:type="dxa"/>
          </w:tcPr>
          <w:p w14:paraId="5FA47F85"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1</w:t>
            </w:r>
          </w:p>
        </w:tc>
        <w:tc>
          <w:tcPr>
            <w:tcW w:w="2183" w:type="dxa"/>
          </w:tcPr>
          <w:p w14:paraId="44BCED1B" w14:textId="77777777" w:rsidR="006D2651" w:rsidRPr="006D2651" w:rsidRDefault="006D2651" w:rsidP="006D2651">
            <w:pPr>
              <w:spacing w:after="0"/>
              <w:rPr>
                <w:rFonts w:ascii="Times New Roman" w:hAnsi="Times New Roman"/>
                <w:sz w:val="20"/>
                <w:szCs w:val="20"/>
              </w:rPr>
            </w:pPr>
          </w:p>
        </w:tc>
        <w:tc>
          <w:tcPr>
            <w:tcW w:w="2110" w:type="dxa"/>
          </w:tcPr>
          <w:p w14:paraId="1EE0EBD8" w14:textId="77777777" w:rsidR="006D2651" w:rsidRPr="006D2651" w:rsidRDefault="006D2651" w:rsidP="006D2651">
            <w:pPr>
              <w:spacing w:after="0"/>
              <w:jc w:val="center"/>
              <w:rPr>
                <w:rFonts w:ascii="Times New Roman" w:hAnsi="Times New Roman"/>
                <w:b/>
                <w:bCs/>
                <w:sz w:val="20"/>
                <w:szCs w:val="20"/>
              </w:rPr>
            </w:pPr>
          </w:p>
        </w:tc>
        <w:tc>
          <w:tcPr>
            <w:tcW w:w="1560" w:type="dxa"/>
          </w:tcPr>
          <w:p w14:paraId="35C47870"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219BBF7A" w14:textId="77777777" w:rsidTr="006D2651">
        <w:trPr>
          <w:trHeight w:val="476"/>
        </w:trPr>
        <w:tc>
          <w:tcPr>
            <w:tcW w:w="805" w:type="dxa"/>
          </w:tcPr>
          <w:p w14:paraId="268341F3"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2</w:t>
            </w:r>
          </w:p>
        </w:tc>
        <w:tc>
          <w:tcPr>
            <w:tcW w:w="2183" w:type="dxa"/>
          </w:tcPr>
          <w:p w14:paraId="1485D49B" w14:textId="77777777" w:rsidR="006D2651" w:rsidRPr="006D2651" w:rsidRDefault="006D2651" w:rsidP="006D2651">
            <w:pPr>
              <w:spacing w:after="0"/>
              <w:rPr>
                <w:rFonts w:ascii="Times New Roman" w:hAnsi="Times New Roman"/>
                <w:sz w:val="20"/>
                <w:szCs w:val="20"/>
              </w:rPr>
            </w:pPr>
          </w:p>
        </w:tc>
        <w:tc>
          <w:tcPr>
            <w:tcW w:w="2110" w:type="dxa"/>
          </w:tcPr>
          <w:p w14:paraId="6D3A032A" w14:textId="77777777" w:rsidR="006D2651" w:rsidRPr="006D2651" w:rsidRDefault="006D2651" w:rsidP="006D2651">
            <w:pPr>
              <w:spacing w:after="0"/>
              <w:jc w:val="center"/>
              <w:rPr>
                <w:rFonts w:ascii="Times New Roman" w:hAnsi="Times New Roman"/>
                <w:b/>
                <w:bCs/>
                <w:sz w:val="20"/>
                <w:szCs w:val="20"/>
              </w:rPr>
            </w:pPr>
          </w:p>
        </w:tc>
        <w:tc>
          <w:tcPr>
            <w:tcW w:w="1560" w:type="dxa"/>
          </w:tcPr>
          <w:p w14:paraId="65985FB0" w14:textId="77777777" w:rsidR="006D2651" w:rsidRPr="006D2651" w:rsidRDefault="006D2651" w:rsidP="006D2651">
            <w:pPr>
              <w:spacing w:after="0"/>
              <w:jc w:val="center"/>
              <w:rPr>
                <w:rFonts w:ascii="Times New Roman" w:hAnsi="Times New Roman"/>
                <w:b/>
                <w:bCs/>
                <w:sz w:val="20"/>
                <w:szCs w:val="20"/>
              </w:rPr>
            </w:pPr>
          </w:p>
        </w:tc>
      </w:tr>
    </w:tbl>
    <w:p w14:paraId="4C6EA764" w14:textId="2D108D49" w:rsidR="006D2651" w:rsidRPr="006D2651" w:rsidRDefault="006D2651" w:rsidP="006D2651">
      <w:pPr>
        <w:jc w:val="center"/>
        <w:rPr>
          <w:rFonts w:ascii="Times New Roman" w:hAnsi="Times New Roman"/>
          <w:b/>
          <w:bCs/>
          <w:sz w:val="20"/>
          <w:szCs w:val="20"/>
        </w:rPr>
      </w:pPr>
    </w:p>
    <w:p w14:paraId="4C188FA1"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1(d)</w:t>
      </w:r>
    </w:p>
    <w:tbl>
      <w:tblPr>
        <w:tblStyle w:val="TableGrid"/>
        <w:tblW w:w="0" w:type="auto"/>
        <w:tblLook w:val="04A0" w:firstRow="1" w:lastRow="0" w:firstColumn="1" w:lastColumn="0" w:noHBand="0" w:noVBand="1"/>
      </w:tblPr>
      <w:tblGrid>
        <w:gridCol w:w="609"/>
        <w:gridCol w:w="2494"/>
        <w:gridCol w:w="1608"/>
        <w:gridCol w:w="1794"/>
        <w:gridCol w:w="1342"/>
        <w:gridCol w:w="1503"/>
      </w:tblGrid>
      <w:tr w:rsidR="006D2651" w:rsidRPr="006D2651" w14:paraId="37206918" w14:textId="77777777" w:rsidTr="006D2651">
        <w:tc>
          <w:tcPr>
            <w:tcW w:w="609" w:type="dxa"/>
          </w:tcPr>
          <w:p w14:paraId="654AE755"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S. No</w:t>
            </w:r>
          </w:p>
        </w:tc>
        <w:tc>
          <w:tcPr>
            <w:tcW w:w="2494" w:type="dxa"/>
          </w:tcPr>
          <w:p w14:paraId="05998B8A"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Pipeline Diameter</w:t>
            </w:r>
          </w:p>
        </w:tc>
        <w:tc>
          <w:tcPr>
            <w:tcW w:w="1608" w:type="dxa"/>
          </w:tcPr>
          <w:p w14:paraId="6E8AD092"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Qty (km)</w:t>
            </w:r>
          </w:p>
        </w:tc>
        <w:tc>
          <w:tcPr>
            <w:tcW w:w="1794" w:type="dxa"/>
          </w:tcPr>
          <w:p w14:paraId="5E706E05"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Value/inch km</w:t>
            </w:r>
          </w:p>
        </w:tc>
        <w:tc>
          <w:tcPr>
            <w:tcW w:w="1342" w:type="dxa"/>
          </w:tcPr>
          <w:p w14:paraId="1A398EC2"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HDD/Open Cut</w:t>
            </w:r>
          </w:p>
        </w:tc>
        <w:tc>
          <w:tcPr>
            <w:tcW w:w="1503" w:type="dxa"/>
          </w:tcPr>
          <w:p w14:paraId="2D267342"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575CCB93" w14:textId="77777777" w:rsidTr="006D2651">
        <w:tc>
          <w:tcPr>
            <w:tcW w:w="609" w:type="dxa"/>
          </w:tcPr>
          <w:p w14:paraId="716C8772"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1</w:t>
            </w:r>
          </w:p>
        </w:tc>
        <w:tc>
          <w:tcPr>
            <w:tcW w:w="2494" w:type="dxa"/>
          </w:tcPr>
          <w:p w14:paraId="6B95166C" w14:textId="77777777" w:rsidR="006D2651" w:rsidRPr="006D2651" w:rsidRDefault="006D2651" w:rsidP="006D2651">
            <w:pPr>
              <w:rPr>
                <w:rFonts w:ascii="Times New Roman" w:hAnsi="Times New Roman"/>
                <w:sz w:val="20"/>
                <w:szCs w:val="20"/>
              </w:rPr>
            </w:pPr>
          </w:p>
        </w:tc>
        <w:tc>
          <w:tcPr>
            <w:tcW w:w="1608" w:type="dxa"/>
          </w:tcPr>
          <w:p w14:paraId="518A30BC" w14:textId="77777777" w:rsidR="006D2651" w:rsidRPr="006D2651" w:rsidRDefault="006D2651" w:rsidP="006D2651">
            <w:pPr>
              <w:jc w:val="center"/>
              <w:rPr>
                <w:rFonts w:ascii="Times New Roman" w:hAnsi="Times New Roman"/>
                <w:b/>
                <w:bCs/>
                <w:sz w:val="20"/>
                <w:szCs w:val="20"/>
              </w:rPr>
            </w:pPr>
          </w:p>
        </w:tc>
        <w:tc>
          <w:tcPr>
            <w:tcW w:w="1794" w:type="dxa"/>
          </w:tcPr>
          <w:p w14:paraId="3D7C6DBF" w14:textId="77777777" w:rsidR="006D2651" w:rsidRPr="006D2651" w:rsidRDefault="006D2651" w:rsidP="006D2651">
            <w:pPr>
              <w:jc w:val="center"/>
              <w:rPr>
                <w:rFonts w:ascii="Times New Roman" w:hAnsi="Times New Roman"/>
                <w:b/>
                <w:bCs/>
                <w:sz w:val="20"/>
                <w:szCs w:val="20"/>
              </w:rPr>
            </w:pPr>
          </w:p>
        </w:tc>
        <w:tc>
          <w:tcPr>
            <w:tcW w:w="1342" w:type="dxa"/>
          </w:tcPr>
          <w:p w14:paraId="698AFCDE" w14:textId="77777777" w:rsidR="006D2651" w:rsidRPr="006D2651" w:rsidRDefault="006D2651" w:rsidP="006D2651">
            <w:pPr>
              <w:jc w:val="center"/>
              <w:rPr>
                <w:rFonts w:ascii="Times New Roman" w:hAnsi="Times New Roman"/>
                <w:b/>
                <w:bCs/>
                <w:sz w:val="20"/>
                <w:szCs w:val="20"/>
              </w:rPr>
            </w:pPr>
          </w:p>
        </w:tc>
        <w:tc>
          <w:tcPr>
            <w:tcW w:w="1503" w:type="dxa"/>
          </w:tcPr>
          <w:p w14:paraId="1413D19A" w14:textId="77777777" w:rsidR="006D2651" w:rsidRPr="006D2651" w:rsidRDefault="006D2651" w:rsidP="006D2651">
            <w:pPr>
              <w:jc w:val="center"/>
              <w:rPr>
                <w:rFonts w:ascii="Times New Roman" w:hAnsi="Times New Roman"/>
                <w:b/>
                <w:bCs/>
                <w:sz w:val="20"/>
                <w:szCs w:val="20"/>
              </w:rPr>
            </w:pPr>
          </w:p>
        </w:tc>
      </w:tr>
      <w:tr w:rsidR="006D2651" w:rsidRPr="006D2651" w14:paraId="3C240781" w14:textId="77777777" w:rsidTr="006D2651">
        <w:tc>
          <w:tcPr>
            <w:tcW w:w="609" w:type="dxa"/>
          </w:tcPr>
          <w:p w14:paraId="1DFA9CF2" w14:textId="77777777"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2</w:t>
            </w:r>
          </w:p>
        </w:tc>
        <w:tc>
          <w:tcPr>
            <w:tcW w:w="2494" w:type="dxa"/>
          </w:tcPr>
          <w:p w14:paraId="3263C1E3" w14:textId="77777777" w:rsidR="006D2651" w:rsidRPr="006D2651" w:rsidRDefault="006D2651" w:rsidP="006D2651">
            <w:pPr>
              <w:rPr>
                <w:rFonts w:ascii="Times New Roman" w:hAnsi="Times New Roman"/>
                <w:sz w:val="20"/>
                <w:szCs w:val="20"/>
              </w:rPr>
            </w:pPr>
          </w:p>
        </w:tc>
        <w:tc>
          <w:tcPr>
            <w:tcW w:w="1608" w:type="dxa"/>
          </w:tcPr>
          <w:p w14:paraId="3811F05D" w14:textId="77777777" w:rsidR="006D2651" w:rsidRPr="006D2651" w:rsidRDefault="006D2651" w:rsidP="006D2651">
            <w:pPr>
              <w:jc w:val="center"/>
              <w:rPr>
                <w:rFonts w:ascii="Times New Roman" w:hAnsi="Times New Roman"/>
                <w:b/>
                <w:bCs/>
                <w:sz w:val="20"/>
                <w:szCs w:val="20"/>
              </w:rPr>
            </w:pPr>
          </w:p>
        </w:tc>
        <w:tc>
          <w:tcPr>
            <w:tcW w:w="1794" w:type="dxa"/>
          </w:tcPr>
          <w:p w14:paraId="233F03E4" w14:textId="77777777" w:rsidR="006D2651" w:rsidRPr="006D2651" w:rsidRDefault="006D2651" w:rsidP="006D2651">
            <w:pPr>
              <w:jc w:val="center"/>
              <w:rPr>
                <w:rFonts w:ascii="Times New Roman" w:hAnsi="Times New Roman"/>
                <w:b/>
                <w:bCs/>
                <w:sz w:val="20"/>
                <w:szCs w:val="20"/>
              </w:rPr>
            </w:pPr>
          </w:p>
        </w:tc>
        <w:tc>
          <w:tcPr>
            <w:tcW w:w="1342" w:type="dxa"/>
          </w:tcPr>
          <w:p w14:paraId="43850F14" w14:textId="77777777" w:rsidR="006D2651" w:rsidRPr="006D2651" w:rsidRDefault="006D2651" w:rsidP="006D2651">
            <w:pPr>
              <w:jc w:val="center"/>
              <w:rPr>
                <w:rFonts w:ascii="Times New Roman" w:hAnsi="Times New Roman"/>
                <w:b/>
                <w:bCs/>
                <w:sz w:val="20"/>
                <w:szCs w:val="20"/>
              </w:rPr>
            </w:pPr>
          </w:p>
        </w:tc>
        <w:tc>
          <w:tcPr>
            <w:tcW w:w="1503" w:type="dxa"/>
          </w:tcPr>
          <w:p w14:paraId="62A05685" w14:textId="77777777" w:rsidR="006D2651" w:rsidRPr="006D2651" w:rsidRDefault="006D2651" w:rsidP="006D2651">
            <w:pPr>
              <w:jc w:val="center"/>
              <w:rPr>
                <w:rFonts w:ascii="Times New Roman" w:hAnsi="Times New Roman"/>
                <w:b/>
                <w:bCs/>
                <w:sz w:val="20"/>
                <w:szCs w:val="20"/>
              </w:rPr>
            </w:pPr>
          </w:p>
        </w:tc>
      </w:tr>
    </w:tbl>
    <w:p w14:paraId="5388A5F6" w14:textId="6EFD21DC" w:rsidR="00C90AAE" w:rsidRDefault="00C90AAE" w:rsidP="006D2651">
      <w:pPr>
        <w:jc w:val="center"/>
        <w:rPr>
          <w:rFonts w:ascii="Times New Roman" w:hAnsi="Times New Roman"/>
          <w:b/>
          <w:bCs/>
          <w:sz w:val="20"/>
          <w:szCs w:val="20"/>
        </w:rPr>
      </w:pPr>
    </w:p>
    <w:p w14:paraId="47745C50" w14:textId="79873852" w:rsidR="006D2651" w:rsidRPr="006D2651" w:rsidRDefault="006D2651" w:rsidP="006D2651">
      <w:pPr>
        <w:jc w:val="center"/>
        <w:rPr>
          <w:rFonts w:ascii="Times New Roman" w:hAnsi="Times New Roman"/>
          <w:b/>
          <w:bCs/>
          <w:sz w:val="20"/>
          <w:szCs w:val="20"/>
        </w:rPr>
      </w:pPr>
      <w:r w:rsidRPr="006D2651">
        <w:rPr>
          <w:rFonts w:ascii="Times New Roman" w:hAnsi="Times New Roman"/>
          <w:b/>
          <w:bCs/>
          <w:sz w:val="20"/>
          <w:szCs w:val="20"/>
        </w:rPr>
        <w:t>Attachment 1(e)</w:t>
      </w:r>
    </w:p>
    <w:tbl>
      <w:tblPr>
        <w:tblStyle w:val="TableGrid"/>
        <w:tblW w:w="9355" w:type="dxa"/>
        <w:tblLook w:val="04A0" w:firstRow="1" w:lastRow="0" w:firstColumn="1" w:lastColumn="0" w:noHBand="0" w:noVBand="1"/>
      </w:tblPr>
      <w:tblGrid>
        <w:gridCol w:w="892"/>
        <w:gridCol w:w="3653"/>
        <w:gridCol w:w="3247"/>
        <w:gridCol w:w="1563"/>
      </w:tblGrid>
      <w:tr w:rsidR="006D2651" w:rsidRPr="006D2651" w14:paraId="58576BD0" w14:textId="77777777" w:rsidTr="006D2651">
        <w:trPr>
          <w:trHeight w:val="472"/>
        </w:trPr>
        <w:tc>
          <w:tcPr>
            <w:tcW w:w="892" w:type="dxa"/>
          </w:tcPr>
          <w:p w14:paraId="56063E08"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lastRenderedPageBreak/>
              <w:t>S. No</w:t>
            </w:r>
          </w:p>
        </w:tc>
        <w:tc>
          <w:tcPr>
            <w:tcW w:w="3653" w:type="dxa"/>
          </w:tcPr>
          <w:p w14:paraId="488691FF"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Details</w:t>
            </w:r>
          </w:p>
        </w:tc>
        <w:tc>
          <w:tcPr>
            <w:tcW w:w="3247" w:type="dxa"/>
          </w:tcPr>
          <w:p w14:paraId="6D9BBC59"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Type</w:t>
            </w:r>
          </w:p>
          <w:p w14:paraId="0A95A4F0"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(Civil, Electrical, Mechanical Instrumentation)</w:t>
            </w:r>
          </w:p>
        </w:tc>
        <w:tc>
          <w:tcPr>
            <w:tcW w:w="1563" w:type="dxa"/>
          </w:tcPr>
          <w:p w14:paraId="29E52F61"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6D2651" w:rsidRPr="006D2651" w14:paraId="77E92756" w14:textId="77777777" w:rsidTr="006D2651">
        <w:trPr>
          <w:trHeight w:val="234"/>
        </w:trPr>
        <w:tc>
          <w:tcPr>
            <w:tcW w:w="892" w:type="dxa"/>
          </w:tcPr>
          <w:p w14:paraId="2CCFE0A8"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1</w:t>
            </w:r>
          </w:p>
        </w:tc>
        <w:tc>
          <w:tcPr>
            <w:tcW w:w="3653" w:type="dxa"/>
          </w:tcPr>
          <w:p w14:paraId="3DEA5B8E"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Mainline pumping units including prime movers (MLPUs)</w:t>
            </w:r>
          </w:p>
        </w:tc>
        <w:tc>
          <w:tcPr>
            <w:tcW w:w="3247" w:type="dxa"/>
            <w:vAlign w:val="center"/>
          </w:tcPr>
          <w:p w14:paraId="62C73E36" w14:textId="77777777" w:rsidR="006D2651" w:rsidRPr="006D2651" w:rsidRDefault="006D2651" w:rsidP="006D2651">
            <w:pPr>
              <w:spacing w:after="0"/>
              <w:jc w:val="center"/>
              <w:rPr>
                <w:rFonts w:ascii="Times New Roman" w:hAnsi="Times New Roman"/>
                <w:b/>
                <w:bCs/>
                <w:sz w:val="20"/>
                <w:szCs w:val="20"/>
              </w:rPr>
            </w:pPr>
          </w:p>
        </w:tc>
        <w:tc>
          <w:tcPr>
            <w:tcW w:w="1563" w:type="dxa"/>
          </w:tcPr>
          <w:p w14:paraId="10AA7F7A"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0AFD1334" w14:textId="77777777" w:rsidTr="006D2651">
        <w:trPr>
          <w:trHeight w:val="289"/>
        </w:trPr>
        <w:tc>
          <w:tcPr>
            <w:tcW w:w="892" w:type="dxa"/>
          </w:tcPr>
          <w:p w14:paraId="4696FB0A"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2</w:t>
            </w:r>
          </w:p>
        </w:tc>
        <w:tc>
          <w:tcPr>
            <w:tcW w:w="3653" w:type="dxa"/>
          </w:tcPr>
          <w:p w14:paraId="29297E95"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Valves</w:t>
            </w:r>
          </w:p>
        </w:tc>
        <w:tc>
          <w:tcPr>
            <w:tcW w:w="3247" w:type="dxa"/>
            <w:vAlign w:val="center"/>
          </w:tcPr>
          <w:p w14:paraId="37E9ECB3" w14:textId="77777777" w:rsidR="006D2651" w:rsidRPr="006D2651" w:rsidRDefault="006D2651" w:rsidP="006D2651">
            <w:pPr>
              <w:spacing w:after="0"/>
              <w:jc w:val="center"/>
              <w:rPr>
                <w:rFonts w:ascii="Times New Roman" w:hAnsi="Times New Roman"/>
                <w:b/>
                <w:bCs/>
                <w:sz w:val="20"/>
                <w:szCs w:val="20"/>
              </w:rPr>
            </w:pPr>
          </w:p>
        </w:tc>
        <w:tc>
          <w:tcPr>
            <w:tcW w:w="1563" w:type="dxa"/>
          </w:tcPr>
          <w:p w14:paraId="242A6F50"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657A3335" w14:textId="77777777" w:rsidTr="006D2651">
        <w:trPr>
          <w:trHeight w:val="289"/>
        </w:trPr>
        <w:tc>
          <w:tcPr>
            <w:tcW w:w="892" w:type="dxa"/>
          </w:tcPr>
          <w:p w14:paraId="29D65BC7"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3</w:t>
            </w:r>
          </w:p>
        </w:tc>
        <w:tc>
          <w:tcPr>
            <w:tcW w:w="3653" w:type="dxa"/>
          </w:tcPr>
          <w:p w14:paraId="1F8BA960"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Sump pump &amp; motor</w:t>
            </w:r>
          </w:p>
        </w:tc>
        <w:tc>
          <w:tcPr>
            <w:tcW w:w="3247" w:type="dxa"/>
            <w:vAlign w:val="center"/>
          </w:tcPr>
          <w:p w14:paraId="4BED97AC" w14:textId="77777777" w:rsidR="006D2651" w:rsidRPr="006D2651" w:rsidRDefault="006D2651" w:rsidP="006D2651">
            <w:pPr>
              <w:spacing w:after="0"/>
              <w:jc w:val="center"/>
              <w:rPr>
                <w:rFonts w:ascii="Times New Roman" w:hAnsi="Times New Roman"/>
                <w:sz w:val="20"/>
                <w:szCs w:val="20"/>
              </w:rPr>
            </w:pPr>
          </w:p>
        </w:tc>
        <w:tc>
          <w:tcPr>
            <w:tcW w:w="1563" w:type="dxa"/>
          </w:tcPr>
          <w:p w14:paraId="74E08C7B"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50451DF6" w14:textId="77777777" w:rsidTr="006D2651">
        <w:trPr>
          <w:trHeight w:val="289"/>
        </w:trPr>
        <w:tc>
          <w:tcPr>
            <w:tcW w:w="892" w:type="dxa"/>
          </w:tcPr>
          <w:p w14:paraId="1C0B6115"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4</w:t>
            </w:r>
          </w:p>
        </w:tc>
        <w:tc>
          <w:tcPr>
            <w:tcW w:w="3653" w:type="dxa"/>
          </w:tcPr>
          <w:p w14:paraId="7B981A86"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Scrapper barrels</w:t>
            </w:r>
          </w:p>
        </w:tc>
        <w:tc>
          <w:tcPr>
            <w:tcW w:w="3247" w:type="dxa"/>
            <w:vAlign w:val="center"/>
          </w:tcPr>
          <w:p w14:paraId="153E73DA" w14:textId="77777777" w:rsidR="006D2651" w:rsidRPr="006D2651" w:rsidRDefault="006D2651" w:rsidP="006D2651">
            <w:pPr>
              <w:spacing w:after="0"/>
              <w:jc w:val="center"/>
              <w:rPr>
                <w:rFonts w:ascii="Times New Roman" w:hAnsi="Times New Roman"/>
                <w:sz w:val="20"/>
                <w:szCs w:val="20"/>
              </w:rPr>
            </w:pPr>
          </w:p>
        </w:tc>
        <w:tc>
          <w:tcPr>
            <w:tcW w:w="1563" w:type="dxa"/>
          </w:tcPr>
          <w:p w14:paraId="17EF3EB3"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083829A3" w14:textId="77777777" w:rsidTr="006D2651">
        <w:trPr>
          <w:trHeight w:val="289"/>
        </w:trPr>
        <w:tc>
          <w:tcPr>
            <w:tcW w:w="892" w:type="dxa"/>
          </w:tcPr>
          <w:p w14:paraId="069B4468"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5</w:t>
            </w:r>
          </w:p>
        </w:tc>
        <w:tc>
          <w:tcPr>
            <w:tcW w:w="3653" w:type="dxa"/>
          </w:tcPr>
          <w:p w14:paraId="0D9BFBB0"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Fire alarm &amp; detection system</w:t>
            </w:r>
          </w:p>
        </w:tc>
        <w:tc>
          <w:tcPr>
            <w:tcW w:w="3247" w:type="dxa"/>
            <w:vAlign w:val="center"/>
          </w:tcPr>
          <w:p w14:paraId="3413415E" w14:textId="77777777" w:rsidR="006D2651" w:rsidRPr="006D2651" w:rsidRDefault="006D2651" w:rsidP="006D2651">
            <w:pPr>
              <w:spacing w:after="0"/>
              <w:jc w:val="center"/>
              <w:rPr>
                <w:rFonts w:ascii="Times New Roman" w:hAnsi="Times New Roman"/>
                <w:sz w:val="20"/>
                <w:szCs w:val="20"/>
              </w:rPr>
            </w:pPr>
          </w:p>
        </w:tc>
        <w:tc>
          <w:tcPr>
            <w:tcW w:w="1563" w:type="dxa"/>
          </w:tcPr>
          <w:p w14:paraId="61BF6FFD"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13712AF1" w14:textId="77777777" w:rsidTr="006D2651">
        <w:trPr>
          <w:trHeight w:val="289"/>
        </w:trPr>
        <w:tc>
          <w:tcPr>
            <w:tcW w:w="892" w:type="dxa"/>
          </w:tcPr>
          <w:p w14:paraId="6DA1F4D4"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6</w:t>
            </w:r>
          </w:p>
        </w:tc>
        <w:tc>
          <w:tcPr>
            <w:tcW w:w="3653" w:type="dxa"/>
          </w:tcPr>
          <w:p w14:paraId="793A6611"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Fire hydrant network and related facilities</w:t>
            </w:r>
          </w:p>
        </w:tc>
        <w:tc>
          <w:tcPr>
            <w:tcW w:w="3247" w:type="dxa"/>
            <w:vAlign w:val="center"/>
          </w:tcPr>
          <w:p w14:paraId="506AA086" w14:textId="77777777" w:rsidR="006D2651" w:rsidRPr="006D2651" w:rsidRDefault="006D2651" w:rsidP="006D2651">
            <w:pPr>
              <w:spacing w:after="0"/>
              <w:jc w:val="center"/>
              <w:rPr>
                <w:rFonts w:ascii="Times New Roman" w:hAnsi="Times New Roman"/>
                <w:sz w:val="20"/>
                <w:szCs w:val="20"/>
              </w:rPr>
            </w:pPr>
          </w:p>
        </w:tc>
        <w:tc>
          <w:tcPr>
            <w:tcW w:w="1563" w:type="dxa"/>
          </w:tcPr>
          <w:p w14:paraId="259D0262"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7479BDFE" w14:textId="77777777" w:rsidTr="006D2651">
        <w:trPr>
          <w:trHeight w:val="289"/>
        </w:trPr>
        <w:tc>
          <w:tcPr>
            <w:tcW w:w="892" w:type="dxa"/>
          </w:tcPr>
          <w:p w14:paraId="77892202"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7</w:t>
            </w:r>
          </w:p>
        </w:tc>
        <w:tc>
          <w:tcPr>
            <w:tcW w:w="3653" w:type="dxa"/>
          </w:tcPr>
          <w:p w14:paraId="62EAAB59"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Power cum Motor Control Center (PCC/MCC)</w:t>
            </w:r>
          </w:p>
        </w:tc>
        <w:tc>
          <w:tcPr>
            <w:tcW w:w="3247" w:type="dxa"/>
            <w:vAlign w:val="center"/>
          </w:tcPr>
          <w:p w14:paraId="5FBC62A7" w14:textId="77777777" w:rsidR="006D2651" w:rsidRPr="006D2651" w:rsidRDefault="006D2651" w:rsidP="006D2651">
            <w:pPr>
              <w:spacing w:after="0"/>
              <w:jc w:val="center"/>
              <w:rPr>
                <w:rFonts w:ascii="Times New Roman" w:hAnsi="Times New Roman"/>
                <w:sz w:val="20"/>
                <w:szCs w:val="20"/>
              </w:rPr>
            </w:pPr>
          </w:p>
        </w:tc>
        <w:tc>
          <w:tcPr>
            <w:tcW w:w="1563" w:type="dxa"/>
          </w:tcPr>
          <w:p w14:paraId="59217B08"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1D0349EA" w14:textId="77777777" w:rsidTr="006D2651">
        <w:trPr>
          <w:trHeight w:val="289"/>
        </w:trPr>
        <w:tc>
          <w:tcPr>
            <w:tcW w:w="892" w:type="dxa"/>
          </w:tcPr>
          <w:p w14:paraId="7D7A9C2D"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8</w:t>
            </w:r>
          </w:p>
        </w:tc>
        <w:tc>
          <w:tcPr>
            <w:tcW w:w="3653" w:type="dxa"/>
          </w:tcPr>
          <w:p w14:paraId="63C6618F"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PLC based control system</w:t>
            </w:r>
          </w:p>
        </w:tc>
        <w:tc>
          <w:tcPr>
            <w:tcW w:w="3247" w:type="dxa"/>
            <w:vAlign w:val="center"/>
          </w:tcPr>
          <w:p w14:paraId="4C99847D" w14:textId="77777777" w:rsidR="006D2651" w:rsidRPr="006D2651" w:rsidRDefault="006D2651" w:rsidP="006D2651">
            <w:pPr>
              <w:spacing w:after="0"/>
              <w:jc w:val="center"/>
              <w:rPr>
                <w:rFonts w:ascii="Times New Roman" w:hAnsi="Times New Roman"/>
                <w:sz w:val="20"/>
                <w:szCs w:val="20"/>
              </w:rPr>
            </w:pPr>
          </w:p>
        </w:tc>
        <w:tc>
          <w:tcPr>
            <w:tcW w:w="1563" w:type="dxa"/>
          </w:tcPr>
          <w:p w14:paraId="387C8B93" w14:textId="77777777" w:rsidR="006D2651" w:rsidRPr="006D2651" w:rsidRDefault="006D2651" w:rsidP="006D2651">
            <w:pPr>
              <w:spacing w:after="0"/>
              <w:jc w:val="center"/>
              <w:rPr>
                <w:rFonts w:ascii="Times New Roman" w:hAnsi="Times New Roman"/>
                <w:b/>
                <w:bCs/>
                <w:sz w:val="20"/>
                <w:szCs w:val="20"/>
              </w:rPr>
            </w:pPr>
          </w:p>
        </w:tc>
      </w:tr>
      <w:tr w:rsidR="006D2651" w:rsidRPr="006D2651" w14:paraId="1543B45D" w14:textId="77777777" w:rsidTr="006D2651">
        <w:trPr>
          <w:trHeight w:val="289"/>
        </w:trPr>
        <w:tc>
          <w:tcPr>
            <w:tcW w:w="892" w:type="dxa"/>
          </w:tcPr>
          <w:p w14:paraId="223762BD" w14:textId="77777777" w:rsidR="006D2651" w:rsidRPr="006D2651" w:rsidRDefault="006D2651" w:rsidP="006D2651">
            <w:pPr>
              <w:spacing w:after="0"/>
              <w:jc w:val="center"/>
              <w:rPr>
                <w:rFonts w:ascii="Times New Roman" w:hAnsi="Times New Roman"/>
                <w:b/>
                <w:bCs/>
                <w:sz w:val="20"/>
                <w:szCs w:val="20"/>
              </w:rPr>
            </w:pPr>
            <w:r w:rsidRPr="006D2651">
              <w:rPr>
                <w:rFonts w:ascii="Times New Roman" w:hAnsi="Times New Roman"/>
                <w:b/>
                <w:bCs/>
                <w:sz w:val="20"/>
                <w:szCs w:val="20"/>
              </w:rPr>
              <w:t>9</w:t>
            </w:r>
          </w:p>
        </w:tc>
        <w:tc>
          <w:tcPr>
            <w:tcW w:w="3653" w:type="dxa"/>
          </w:tcPr>
          <w:p w14:paraId="41D3A023"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Control buildings, etc.</w:t>
            </w:r>
          </w:p>
        </w:tc>
        <w:tc>
          <w:tcPr>
            <w:tcW w:w="3247" w:type="dxa"/>
            <w:vAlign w:val="center"/>
          </w:tcPr>
          <w:p w14:paraId="6EB33062" w14:textId="77777777" w:rsidR="006D2651" w:rsidRPr="006D2651" w:rsidRDefault="006D2651" w:rsidP="006D2651">
            <w:pPr>
              <w:spacing w:after="0"/>
              <w:jc w:val="center"/>
              <w:rPr>
                <w:rFonts w:ascii="Times New Roman" w:hAnsi="Times New Roman"/>
                <w:sz w:val="20"/>
                <w:szCs w:val="20"/>
              </w:rPr>
            </w:pPr>
          </w:p>
        </w:tc>
        <w:tc>
          <w:tcPr>
            <w:tcW w:w="1563" w:type="dxa"/>
          </w:tcPr>
          <w:p w14:paraId="6B541F5A" w14:textId="77777777" w:rsidR="006D2651" w:rsidRPr="006D2651" w:rsidRDefault="006D2651" w:rsidP="006D2651">
            <w:pPr>
              <w:spacing w:after="0"/>
              <w:jc w:val="center"/>
              <w:rPr>
                <w:rFonts w:ascii="Times New Roman" w:hAnsi="Times New Roman"/>
                <w:b/>
                <w:bCs/>
                <w:sz w:val="20"/>
                <w:szCs w:val="20"/>
              </w:rPr>
            </w:pPr>
          </w:p>
        </w:tc>
      </w:tr>
    </w:tbl>
    <w:p w14:paraId="5B081B9E" w14:textId="1C8CBFFD" w:rsidR="006D2651" w:rsidRPr="006D2651" w:rsidRDefault="006D2651" w:rsidP="006D2651">
      <w:pPr>
        <w:pStyle w:val="NormalWeb"/>
        <w:spacing w:before="0" w:beforeAutospacing="0" w:after="0" w:afterAutospacing="0" w:line="276" w:lineRule="auto"/>
        <w:jc w:val="center"/>
        <w:rPr>
          <w:rStyle w:val="Strong"/>
          <w:sz w:val="20"/>
          <w:szCs w:val="20"/>
        </w:rPr>
      </w:pPr>
    </w:p>
    <w:p w14:paraId="61185B08" w14:textId="77777777" w:rsidR="006D2651" w:rsidRPr="006D2651" w:rsidRDefault="006D2651" w:rsidP="0099442F">
      <w:pPr>
        <w:spacing w:after="0"/>
        <w:jc w:val="center"/>
        <w:rPr>
          <w:rFonts w:ascii="Times New Roman" w:hAnsi="Times New Roman"/>
          <w:b/>
          <w:bCs/>
          <w:sz w:val="20"/>
          <w:szCs w:val="20"/>
        </w:rPr>
      </w:pPr>
      <w:r w:rsidRPr="006D2651">
        <w:rPr>
          <w:rFonts w:ascii="Times New Roman" w:hAnsi="Times New Roman"/>
          <w:b/>
          <w:bCs/>
          <w:sz w:val="20"/>
          <w:szCs w:val="20"/>
        </w:rPr>
        <w:t>Attachment 1 (f)</w:t>
      </w:r>
    </w:p>
    <w:p w14:paraId="7E692B8D" w14:textId="77777777" w:rsidR="006D2651" w:rsidRPr="006D2651" w:rsidRDefault="006D2651" w:rsidP="0099442F">
      <w:pPr>
        <w:pStyle w:val="NormalWeb"/>
        <w:spacing w:before="0" w:beforeAutospacing="0" w:after="0" w:afterAutospacing="0" w:line="276" w:lineRule="auto"/>
        <w:ind w:left="600"/>
        <w:jc w:val="center"/>
        <w:rPr>
          <w:rStyle w:val="Strong"/>
          <w:sz w:val="20"/>
          <w:szCs w:val="20"/>
        </w:rPr>
      </w:pPr>
      <w:r w:rsidRPr="006D2651">
        <w:rPr>
          <w:rStyle w:val="Strong"/>
          <w:sz w:val="20"/>
          <w:szCs w:val="20"/>
        </w:rPr>
        <w:t>Profit and Loss Account ($) (₹/ lakh)</w:t>
      </w:r>
    </w:p>
    <w:p w14:paraId="23B8C4C6" w14:textId="77777777" w:rsidR="006D2651" w:rsidRPr="006D2651" w:rsidRDefault="006D2651" w:rsidP="006D2651">
      <w:pPr>
        <w:pStyle w:val="NormalWeb"/>
        <w:spacing w:before="0" w:beforeAutospacing="0" w:after="0" w:afterAutospacing="0" w:line="276" w:lineRule="auto"/>
        <w:ind w:left="600"/>
        <w:jc w:val="center"/>
        <w:rPr>
          <w:rStyle w:val="Strong"/>
          <w:sz w:val="20"/>
          <w:szCs w:val="20"/>
        </w:rPr>
      </w:pPr>
    </w:p>
    <w:tbl>
      <w:tblPr>
        <w:tblW w:w="10411"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
        <w:gridCol w:w="3705"/>
        <w:gridCol w:w="972"/>
        <w:gridCol w:w="993"/>
        <w:gridCol w:w="992"/>
        <w:gridCol w:w="992"/>
        <w:gridCol w:w="567"/>
        <w:gridCol w:w="1134"/>
      </w:tblGrid>
      <w:tr w:rsidR="006D2651" w:rsidRPr="006D2651" w14:paraId="37CF778C" w14:textId="77777777" w:rsidTr="006D2651">
        <w:trPr>
          <w:trHeight w:val="323"/>
        </w:trPr>
        <w:tc>
          <w:tcPr>
            <w:tcW w:w="1056" w:type="dxa"/>
            <w:vAlign w:val="center"/>
          </w:tcPr>
          <w:p w14:paraId="02619FD9"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Sr. No.</w:t>
            </w:r>
          </w:p>
        </w:tc>
        <w:tc>
          <w:tcPr>
            <w:tcW w:w="3705" w:type="dxa"/>
            <w:vAlign w:val="center"/>
          </w:tcPr>
          <w:p w14:paraId="763DF8FB"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Description</w:t>
            </w:r>
          </w:p>
        </w:tc>
        <w:tc>
          <w:tcPr>
            <w:tcW w:w="972" w:type="dxa"/>
            <w:vAlign w:val="center"/>
          </w:tcPr>
          <w:p w14:paraId="4285BB62"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Year 11</w:t>
            </w:r>
          </w:p>
        </w:tc>
        <w:tc>
          <w:tcPr>
            <w:tcW w:w="993" w:type="dxa"/>
            <w:vAlign w:val="center"/>
          </w:tcPr>
          <w:p w14:paraId="1F72754C"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Year 2</w:t>
            </w:r>
          </w:p>
        </w:tc>
        <w:tc>
          <w:tcPr>
            <w:tcW w:w="992" w:type="dxa"/>
            <w:vAlign w:val="center"/>
          </w:tcPr>
          <w:p w14:paraId="050A9E29"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Year 3</w:t>
            </w:r>
          </w:p>
        </w:tc>
        <w:tc>
          <w:tcPr>
            <w:tcW w:w="992" w:type="dxa"/>
            <w:vAlign w:val="center"/>
          </w:tcPr>
          <w:p w14:paraId="03622B31"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Year 4</w:t>
            </w:r>
          </w:p>
        </w:tc>
        <w:tc>
          <w:tcPr>
            <w:tcW w:w="567" w:type="dxa"/>
            <w:vAlign w:val="center"/>
          </w:tcPr>
          <w:p w14:paraId="681FB54A"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w:t>
            </w:r>
          </w:p>
        </w:tc>
        <w:tc>
          <w:tcPr>
            <w:tcW w:w="1134" w:type="dxa"/>
            <w:vAlign w:val="center"/>
          </w:tcPr>
          <w:p w14:paraId="237AC475"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Year 25</w:t>
            </w:r>
          </w:p>
        </w:tc>
      </w:tr>
      <w:tr w:rsidR="006D2651" w:rsidRPr="006D2651" w14:paraId="6DA5B640" w14:textId="77777777" w:rsidTr="006D2651">
        <w:trPr>
          <w:trHeight w:val="341"/>
        </w:trPr>
        <w:tc>
          <w:tcPr>
            <w:tcW w:w="1056" w:type="dxa"/>
          </w:tcPr>
          <w:p w14:paraId="2D2A14CC"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1</w:t>
            </w:r>
          </w:p>
        </w:tc>
        <w:tc>
          <w:tcPr>
            <w:tcW w:w="3705" w:type="dxa"/>
          </w:tcPr>
          <w:p w14:paraId="426C8EE8"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Total inflows</w:t>
            </w:r>
          </w:p>
        </w:tc>
        <w:tc>
          <w:tcPr>
            <w:tcW w:w="972" w:type="dxa"/>
          </w:tcPr>
          <w:p w14:paraId="59B327FB" w14:textId="77777777" w:rsidR="006D2651" w:rsidRPr="006D2651" w:rsidRDefault="006D2651" w:rsidP="006D2651">
            <w:pPr>
              <w:spacing w:after="0"/>
              <w:jc w:val="center"/>
              <w:rPr>
                <w:rFonts w:ascii="Times New Roman" w:hAnsi="Times New Roman"/>
                <w:b/>
                <w:sz w:val="20"/>
                <w:szCs w:val="20"/>
              </w:rPr>
            </w:pPr>
          </w:p>
        </w:tc>
        <w:tc>
          <w:tcPr>
            <w:tcW w:w="993" w:type="dxa"/>
          </w:tcPr>
          <w:p w14:paraId="4911AFE2" w14:textId="77777777" w:rsidR="006D2651" w:rsidRPr="006D2651" w:rsidRDefault="006D2651" w:rsidP="006D2651">
            <w:pPr>
              <w:spacing w:after="0"/>
              <w:jc w:val="center"/>
              <w:rPr>
                <w:rFonts w:ascii="Times New Roman" w:hAnsi="Times New Roman"/>
                <w:b/>
                <w:sz w:val="20"/>
                <w:szCs w:val="20"/>
              </w:rPr>
            </w:pPr>
          </w:p>
        </w:tc>
        <w:tc>
          <w:tcPr>
            <w:tcW w:w="992" w:type="dxa"/>
          </w:tcPr>
          <w:p w14:paraId="469559ED" w14:textId="77777777" w:rsidR="006D2651" w:rsidRPr="006D2651" w:rsidRDefault="006D2651" w:rsidP="006D2651">
            <w:pPr>
              <w:spacing w:after="0"/>
              <w:jc w:val="center"/>
              <w:rPr>
                <w:rFonts w:ascii="Times New Roman" w:hAnsi="Times New Roman"/>
                <w:b/>
                <w:sz w:val="20"/>
                <w:szCs w:val="20"/>
              </w:rPr>
            </w:pPr>
          </w:p>
        </w:tc>
        <w:tc>
          <w:tcPr>
            <w:tcW w:w="992" w:type="dxa"/>
          </w:tcPr>
          <w:p w14:paraId="6AA7B75B" w14:textId="77777777" w:rsidR="006D2651" w:rsidRPr="006D2651" w:rsidRDefault="006D2651" w:rsidP="006D2651">
            <w:pPr>
              <w:spacing w:after="0"/>
              <w:jc w:val="center"/>
              <w:rPr>
                <w:rFonts w:ascii="Times New Roman" w:hAnsi="Times New Roman"/>
                <w:b/>
                <w:sz w:val="20"/>
                <w:szCs w:val="20"/>
              </w:rPr>
            </w:pPr>
          </w:p>
        </w:tc>
        <w:tc>
          <w:tcPr>
            <w:tcW w:w="567" w:type="dxa"/>
          </w:tcPr>
          <w:p w14:paraId="3F320B3B" w14:textId="77777777" w:rsidR="006D2651" w:rsidRPr="006D2651" w:rsidRDefault="006D2651" w:rsidP="006D2651">
            <w:pPr>
              <w:spacing w:after="0"/>
              <w:jc w:val="center"/>
              <w:rPr>
                <w:rFonts w:ascii="Times New Roman" w:hAnsi="Times New Roman"/>
                <w:b/>
                <w:sz w:val="20"/>
                <w:szCs w:val="20"/>
              </w:rPr>
            </w:pPr>
          </w:p>
        </w:tc>
        <w:tc>
          <w:tcPr>
            <w:tcW w:w="1134" w:type="dxa"/>
          </w:tcPr>
          <w:p w14:paraId="7DE5A2DB" w14:textId="77777777" w:rsidR="006D2651" w:rsidRPr="006D2651" w:rsidRDefault="006D2651" w:rsidP="006D2651">
            <w:pPr>
              <w:spacing w:after="0"/>
              <w:jc w:val="center"/>
              <w:rPr>
                <w:rFonts w:ascii="Times New Roman" w:hAnsi="Times New Roman"/>
                <w:b/>
                <w:sz w:val="20"/>
                <w:szCs w:val="20"/>
              </w:rPr>
            </w:pPr>
          </w:p>
        </w:tc>
      </w:tr>
      <w:tr w:rsidR="006D2651" w:rsidRPr="006D2651" w14:paraId="6CFD3381" w14:textId="77777777" w:rsidTr="006D2651">
        <w:tc>
          <w:tcPr>
            <w:tcW w:w="1056" w:type="dxa"/>
          </w:tcPr>
          <w:p w14:paraId="094D977C"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a</w:t>
            </w:r>
          </w:p>
        </w:tc>
        <w:tc>
          <w:tcPr>
            <w:tcW w:w="3705" w:type="dxa"/>
          </w:tcPr>
          <w:p w14:paraId="00B9289F"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Revenue from petroleum and petroleum products pipeline tariff</w:t>
            </w:r>
          </w:p>
        </w:tc>
        <w:tc>
          <w:tcPr>
            <w:tcW w:w="972" w:type="dxa"/>
          </w:tcPr>
          <w:p w14:paraId="5A58148E" w14:textId="77777777" w:rsidR="006D2651" w:rsidRPr="006D2651" w:rsidRDefault="006D2651" w:rsidP="006D2651">
            <w:pPr>
              <w:spacing w:after="0"/>
              <w:jc w:val="center"/>
              <w:rPr>
                <w:rFonts w:ascii="Times New Roman" w:hAnsi="Times New Roman"/>
                <w:sz w:val="20"/>
                <w:szCs w:val="20"/>
              </w:rPr>
            </w:pPr>
          </w:p>
        </w:tc>
        <w:tc>
          <w:tcPr>
            <w:tcW w:w="993" w:type="dxa"/>
          </w:tcPr>
          <w:p w14:paraId="00197FA8" w14:textId="77777777" w:rsidR="006D2651" w:rsidRPr="006D2651" w:rsidRDefault="006D2651" w:rsidP="006D2651">
            <w:pPr>
              <w:spacing w:after="0"/>
              <w:jc w:val="center"/>
              <w:rPr>
                <w:rFonts w:ascii="Times New Roman" w:hAnsi="Times New Roman"/>
                <w:sz w:val="20"/>
                <w:szCs w:val="20"/>
              </w:rPr>
            </w:pPr>
          </w:p>
        </w:tc>
        <w:tc>
          <w:tcPr>
            <w:tcW w:w="992" w:type="dxa"/>
          </w:tcPr>
          <w:p w14:paraId="6D42F678" w14:textId="77777777" w:rsidR="006D2651" w:rsidRPr="006D2651" w:rsidRDefault="006D2651" w:rsidP="006D2651">
            <w:pPr>
              <w:spacing w:after="0"/>
              <w:jc w:val="center"/>
              <w:rPr>
                <w:rFonts w:ascii="Times New Roman" w:hAnsi="Times New Roman"/>
                <w:sz w:val="20"/>
                <w:szCs w:val="20"/>
              </w:rPr>
            </w:pPr>
          </w:p>
        </w:tc>
        <w:tc>
          <w:tcPr>
            <w:tcW w:w="992" w:type="dxa"/>
          </w:tcPr>
          <w:p w14:paraId="3CF63A67" w14:textId="77777777" w:rsidR="006D2651" w:rsidRPr="006D2651" w:rsidRDefault="006D2651" w:rsidP="006D2651">
            <w:pPr>
              <w:spacing w:after="0"/>
              <w:jc w:val="center"/>
              <w:rPr>
                <w:rFonts w:ascii="Times New Roman" w:hAnsi="Times New Roman"/>
                <w:sz w:val="20"/>
                <w:szCs w:val="20"/>
              </w:rPr>
            </w:pPr>
          </w:p>
        </w:tc>
        <w:tc>
          <w:tcPr>
            <w:tcW w:w="567" w:type="dxa"/>
          </w:tcPr>
          <w:p w14:paraId="4D2B5CC1" w14:textId="77777777" w:rsidR="006D2651" w:rsidRPr="006D2651" w:rsidRDefault="006D2651" w:rsidP="006D2651">
            <w:pPr>
              <w:spacing w:after="0"/>
              <w:jc w:val="center"/>
              <w:rPr>
                <w:rFonts w:ascii="Times New Roman" w:hAnsi="Times New Roman"/>
                <w:sz w:val="20"/>
                <w:szCs w:val="20"/>
              </w:rPr>
            </w:pPr>
          </w:p>
        </w:tc>
        <w:tc>
          <w:tcPr>
            <w:tcW w:w="1134" w:type="dxa"/>
          </w:tcPr>
          <w:p w14:paraId="13924211" w14:textId="77777777" w:rsidR="006D2651" w:rsidRPr="006D2651" w:rsidRDefault="006D2651" w:rsidP="006D2651">
            <w:pPr>
              <w:spacing w:after="0"/>
              <w:jc w:val="center"/>
              <w:rPr>
                <w:rFonts w:ascii="Times New Roman" w:hAnsi="Times New Roman"/>
                <w:sz w:val="20"/>
                <w:szCs w:val="20"/>
              </w:rPr>
            </w:pPr>
          </w:p>
        </w:tc>
      </w:tr>
      <w:tr w:rsidR="006D2651" w:rsidRPr="006D2651" w14:paraId="2A042450" w14:textId="77777777" w:rsidTr="006D2651">
        <w:trPr>
          <w:trHeight w:val="339"/>
        </w:trPr>
        <w:tc>
          <w:tcPr>
            <w:tcW w:w="1056" w:type="dxa"/>
          </w:tcPr>
          <w:p w14:paraId="48ADD7F2"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2</w:t>
            </w:r>
          </w:p>
        </w:tc>
        <w:tc>
          <w:tcPr>
            <w:tcW w:w="3705" w:type="dxa"/>
          </w:tcPr>
          <w:p w14:paraId="504230F6"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Total operating cost outflows(*)</w:t>
            </w:r>
          </w:p>
        </w:tc>
        <w:tc>
          <w:tcPr>
            <w:tcW w:w="972" w:type="dxa"/>
          </w:tcPr>
          <w:p w14:paraId="165D233D" w14:textId="77777777" w:rsidR="006D2651" w:rsidRPr="006D2651" w:rsidRDefault="006D2651" w:rsidP="006D2651">
            <w:pPr>
              <w:spacing w:after="0"/>
              <w:jc w:val="center"/>
              <w:rPr>
                <w:rFonts w:ascii="Times New Roman" w:hAnsi="Times New Roman"/>
                <w:b/>
                <w:sz w:val="20"/>
                <w:szCs w:val="20"/>
              </w:rPr>
            </w:pPr>
          </w:p>
        </w:tc>
        <w:tc>
          <w:tcPr>
            <w:tcW w:w="993" w:type="dxa"/>
          </w:tcPr>
          <w:p w14:paraId="0E1D94C9" w14:textId="77777777" w:rsidR="006D2651" w:rsidRPr="006D2651" w:rsidRDefault="006D2651" w:rsidP="006D2651">
            <w:pPr>
              <w:spacing w:after="0"/>
              <w:jc w:val="center"/>
              <w:rPr>
                <w:rFonts w:ascii="Times New Roman" w:hAnsi="Times New Roman"/>
                <w:sz w:val="20"/>
                <w:szCs w:val="20"/>
              </w:rPr>
            </w:pPr>
          </w:p>
        </w:tc>
        <w:tc>
          <w:tcPr>
            <w:tcW w:w="992" w:type="dxa"/>
          </w:tcPr>
          <w:p w14:paraId="1FE18A49" w14:textId="77777777" w:rsidR="006D2651" w:rsidRPr="006D2651" w:rsidRDefault="006D2651" w:rsidP="006D2651">
            <w:pPr>
              <w:spacing w:after="0"/>
              <w:jc w:val="center"/>
              <w:rPr>
                <w:rFonts w:ascii="Times New Roman" w:hAnsi="Times New Roman"/>
                <w:sz w:val="20"/>
                <w:szCs w:val="20"/>
              </w:rPr>
            </w:pPr>
          </w:p>
        </w:tc>
        <w:tc>
          <w:tcPr>
            <w:tcW w:w="992" w:type="dxa"/>
          </w:tcPr>
          <w:p w14:paraId="2A82CCE4" w14:textId="77777777" w:rsidR="006D2651" w:rsidRPr="006D2651" w:rsidRDefault="006D2651" w:rsidP="006D2651">
            <w:pPr>
              <w:spacing w:after="0"/>
              <w:jc w:val="center"/>
              <w:rPr>
                <w:rFonts w:ascii="Times New Roman" w:hAnsi="Times New Roman"/>
                <w:sz w:val="20"/>
                <w:szCs w:val="20"/>
              </w:rPr>
            </w:pPr>
          </w:p>
        </w:tc>
        <w:tc>
          <w:tcPr>
            <w:tcW w:w="567" w:type="dxa"/>
          </w:tcPr>
          <w:p w14:paraId="76FB0D68" w14:textId="77777777" w:rsidR="006D2651" w:rsidRPr="006D2651" w:rsidRDefault="006D2651" w:rsidP="006D2651">
            <w:pPr>
              <w:spacing w:after="0"/>
              <w:jc w:val="center"/>
              <w:rPr>
                <w:rFonts w:ascii="Times New Roman" w:hAnsi="Times New Roman"/>
                <w:sz w:val="20"/>
                <w:szCs w:val="20"/>
              </w:rPr>
            </w:pPr>
          </w:p>
        </w:tc>
        <w:tc>
          <w:tcPr>
            <w:tcW w:w="1134" w:type="dxa"/>
          </w:tcPr>
          <w:p w14:paraId="183E5308" w14:textId="77777777" w:rsidR="006D2651" w:rsidRPr="006D2651" w:rsidRDefault="006D2651" w:rsidP="006D2651">
            <w:pPr>
              <w:spacing w:after="0"/>
              <w:jc w:val="center"/>
              <w:rPr>
                <w:rFonts w:ascii="Times New Roman" w:hAnsi="Times New Roman"/>
                <w:sz w:val="20"/>
                <w:szCs w:val="20"/>
              </w:rPr>
            </w:pPr>
          </w:p>
        </w:tc>
      </w:tr>
      <w:tr w:rsidR="006D2651" w:rsidRPr="006D2651" w14:paraId="60903728" w14:textId="77777777" w:rsidTr="006D2651">
        <w:tc>
          <w:tcPr>
            <w:tcW w:w="1056" w:type="dxa"/>
          </w:tcPr>
          <w:p w14:paraId="7BF1D2B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a</w:t>
            </w:r>
          </w:p>
        </w:tc>
        <w:tc>
          <w:tcPr>
            <w:tcW w:w="3705" w:type="dxa"/>
          </w:tcPr>
          <w:p w14:paraId="072CFB5E"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Consumables and chemicals</w:t>
            </w:r>
          </w:p>
        </w:tc>
        <w:tc>
          <w:tcPr>
            <w:tcW w:w="972" w:type="dxa"/>
          </w:tcPr>
          <w:p w14:paraId="63B3ECA2" w14:textId="77777777" w:rsidR="006D2651" w:rsidRPr="006D2651" w:rsidRDefault="006D2651" w:rsidP="006D2651">
            <w:pPr>
              <w:spacing w:after="0"/>
              <w:jc w:val="center"/>
              <w:rPr>
                <w:rFonts w:ascii="Times New Roman" w:hAnsi="Times New Roman"/>
                <w:sz w:val="20"/>
                <w:szCs w:val="20"/>
              </w:rPr>
            </w:pPr>
          </w:p>
        </w:tc>
        <w:tc>
          <w:tcPr>
            <w:tcW w:w="993" w:type="dxa"/>
          </w:tcPr>
          <w:p w14:paraId="0889F87E" w14:textId="77777777" w:rsidR="006D2651" w:rsidRPr="006D2651" w:rsidRDefault="006D2651" w:rsidP="006D2651">
            <w:pPr>
              <w:spacing w:after="0"/>
              <w:jc w:val="center"/>
              <w:rPr>
                <w:rFonts w:ascii="Times New Roman" w:hAnsi="Times New Roman"/>
                <w:sz w:val="20"/>
                <w:szCs w:val="20"/>
              </w:rPr>
            </w:pPr>
          </w:p>
        </w:tc>
        <w:tc>
          <w:tcPr>
            <w:tcW w:w="992" w:type="dxa"/>
          </w:tcPr>
          <w:p w14:paraId="300EB3FE" w14:textId="77777777" w:rsidR="006D2651" w:rsidRPr="006D2651" w:rsidRDefault="006D2651" w:rsidP="006D2651">
            <w:pPr>
              <w:spacing w:after="0"/>
              <w:jc w:val="center"/>
              <w:rPr>
                <w:rFonts w:ascii="Times New Roman" w:hAnsi="Times New Roman"/>
                <w:sz w:val="20"/>
                <w:szCs w:val="20"/>
              </w:rPr>
            </w:pPr>
          </w:p>
        </w:tc>
        <w:tc>
          <w:tcPr>
            <w:tcW w:w="992" w:type="dxa"/>
          </w:tcPr>
          <w:p w14:paraId="3F1BF648" w14:textId="77777777" w:rsidR="006D2651" w:rsidRPr="006D2651" w:rsidRDefault="006D2651" w:rsidP="006D2651">
            <w:pPr>
              <w:spacing w:after="0"/>
              <w:jc w:val="center"/>
              <w:rPr>
                <w:rFonts w:ascii="Times New Roman" w:hAnsi="Times New Roman"/>
                <w:sz w:val="20"/>
                <w:szCs w:val="20"/>
              </w:rPr>
            </w:pPr>
          </w:p>
        </w:tc>
        <w:tc>
          <w:tcPr>
            <w:tcW w:w="567" w:type="dxa"/>
          </w:tcPr>
          <w:p w14:paraId="2EC40E49" w14:textId="77777777" w:rsidR="006D2651" w:rsidRPr="006D2651" w:rsidRDefault="006D2651" w:rsidP="006D2651">
            <w:pPr>
              <w:spacing w:after="0"/>
              <w:jc w:val="center"/>
              <w:rPr>
                <w:rFonts w:ascii="Times New Roman" w:hAnsi="Times New Roman"/>
                <w:sz w:val="20"/>
                <w:szCs w:val="20"/>
              </w:rPr>
            </w:pPr>
          </w:p>
        </w:tc>
        <w:tc>
          <w:tcPr>
            <w:tcW w:w="1134" w:type="dxa"/>
          </w:tcPr>
          <w:p w14:paraId="3264D01A" w14:textId="77777777" w:rsidR="006D2651" w:rsidRPr="006D2651" w:rsidRDefault="006D2651" w:rsidP="006D2651">
            <w:pPr>
              <w:spacing w:after="0"/>
              <w:jc w:val="center"/>
              <w:rPr>
                <w:rFonts w:ascii="Times New Roman" w:hAnsi="Times New Roman"/>
                <w:sz w:val="20"/>
                <w:szCs w:val="20"/>
              </w:rPr>
            </w:pPr>
          </w:p>
        </w:tc>
      </w:tr>
      <w:tr w:rsidR="006D2651" w:rsidRPr="006D2651" w14:paraId="0914323E" w14:textId="77777777" w:rsidTr="006D2651">
        <w:tc>
          <w:tcPr>
            <w:tcW w:w="1056" w:type="dxa"/>
          </w:tcPr>
          <w:p w14:paraId="17A0DED6"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b</w:t>
            </w:r>
          </w:p>
        </w:tc>
        <w:tc>
          <w:tcPr>
            <w:tcW w:w="3705" w:type="dxa"/>
          </w:tcPr>
          <w:p w14:paraId="11918166"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Utilities – (Power fuel and water)</w:t>
            </w:r>
          </w:p>
        </w:tc>
        <w:tc>
          <w:tcPr>
            <w:tcW w:w="972" w:type="dxa"/>
          </w:tcPr>
          <w:p w14:paraId="161DEEBD" w14:textId="77777777" w:rsidR="006D2651" w:rsidRPr="006D2651" w:rsidRDefault="006D2651" w:rsidP="006D2651">
            <w:pPr>
              <w:spacing w:after="0"/>
              <w:jc w:val="center"/>
              <w:rPr>
                <w:rFonts w:ascii="Times New Roman" w:hAnsi="Times New Roman"/>
                <w:sz w:val="20"/>
                <w:szCs w:val="20"/>
              </w:rPr>
            </w:pPr>
          </w:p>
        </w:tc>
        <w:tc>
          <w:tcPr>
            <w:tcW w:w="993" w:type="dxa"/>
          </w:tcPr>
          <w:p w14:paraId="155C837B" w14:textId="77777777" w:rsidR="006D2651" w:rsidRPr="006D2651" w:rsidRDefault="006D2651" w:rsidP="006D2651">
            <w:pPr>
              <w:spacing w:after="0"/>
              <w:jc w:val="center"/>
              <w:rPr>
                <w:rFonts w:ascii="Times New Roman" w:hAnsi="Times New Roman"/>
                <w:sz w:val="20"/>
                <w:szCs w:val="20"/>
              </w:rPr>
            </w:pPr>
          </w:p>
        </w:tc>
        <w:tc>
          <w:tcPr>
            <w:tcW w:w="992" w:type="dxa"/>
          </w:tcPr>
          <w:p w14:paraId="192CCFB7" w14:textId="77777777" w:rsidR="006D2651" w:rsidRPr="006D2651" w:rsidRDefault="006D2651" w:rsidP="006D2651">
            <w:pPr>
              <w:spacing w:after="0"/>
              <w:jc w:val="center"/>
              <w:rPr>
                <w:rFonts w:ascii="Times New Roman" w:hAnsi="Times New Roman"/>
                <w:sz w:val="20"/>
                <w:szCs w:val="20"/>
              </w:rPr>
            </w:pPr>
          </w:p>
        </w:tc>
        <w:tc>
          <w:tcPr>
            <w:tcW w:w="992" w:type="dxa"/>
          </w:tcPr>
          <w:p w14:paraId="672964A3" w14:textId="77777777" w:rsidR="006D2651" w:rsidRPr="006D2651" w:rsidRDefault="006D2651" w:rsidP="006D2651">
            <w:pPr>
              <w:spacing w:after="0"/>
              <w:jc w:val="center"/>
              <w:rPr>
                <w:rFonts w:ascii="Times New Roman" w:hAnsi="Times New Roman"/>
                <w:sz w:val="20"/>
                <w:szCs w:val="20"/>
              </w:rPr>
            </w:pPr>
          </w:p>
        </w:tc>
        <w:tc>
          <w:tcPr>
            <w:tcW w:w="567" w:type="dxa"/>
          </w:tcPr>
          <w:p w14:paraId="3A06B428" w14:textId="77777777" w:rsidR="006D2651" w:rsidRPr="006D2651" w:rsidRDefault="006D2651" w:rsidP="006D2651">
            <w:pPr>
              <w:spacing w:after="0"/>
              <w:jc w:val="center"/>
              <w:rPr>
                <w:rFonts w:ascii="Times New Roman" w:hAnsi="Times New Roman"/>
                <w:sz w:val="20"/>
                <w:szCs w:val="20"/>
              </w:rPr>
            </w:pPr>
          </w:p>
        </w:tc>
        <w:tc>
          <w:tcPr>
            <w:tcW w:w="1134" w:type="dxa"/>
          </w:tcPr>
          <w:p w14:paraId="2E3A2E6F" w14:textId="77777777" w:rsidR="006D2651" w:rsidRPr="006D2651" w:rsidRDefault="006D2651" w:rsidP="006D2651">
            <w:pPr>
              <w:spacing w:after="0"/>
              <w:jc w:val="center"/>
              <w:rPr>
                <w:rFonts w:ascii="Times New Roman" w:hAnsi="Times New Roman"/>
                <w:sz w:val="20"/>
                <w:szCs w:val="20"/>
              </w:rPr>
            </w:pPr>
          </w:p>
        </w:tc>
      </w:tr>
      <w:tr w:rsidR="006D2651" w:rsidRPr="006D2651" w14:paraId="633F9FAD" w14:textId="77777777" w:rsidTr="006D2651">
        <w:tc>
          <w:tcPr>
            <w:tcW w:w="1056" w:type="dxa"/>
          </w:tcPr>
          <w:p w14:paraId="66D826CC"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c</w:t>
            </w:r>
          </w:p>
        </w:tc>
        <w:tc>
          <w:tcPr>
            <w:tcW w:w="3705" w:type="dxa"/>
          </w:tcPr>
          <w:p w14:paraId="0D555BBF"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Salaries</w:t>
            </w:r>
          </w:p>
        </w:tc>
        <w:tc>
          <w:tcPr>
            <w:tcW w:w="972" w:type="dxa"/>
          </w:tcPr>
          <w:p w14:paraId="1EAD56A0" w14:textId="77777777" w:rsidR="006D2651" w:rsidRPr="006D2651" w:rsidRDefault="006D2651" w:rsidP="006D2651">
            <w:pPr>
              <w:spacing w:after="0"/>
              <w:jc w:val="center"/>
              <w:rPr>
                <w:rFonts w:ascii="Times New Roman" w:hAnsi="Times New Roman"/>
                <w:sz w:val="20"/>
                <w:szCs w:val="20"/>
              </w:rPr>
            </w:pPr>
          </w:p>
        </w:tc>
        <w:tc>
          <w:tcPr>
            <w:tcW w:w="993" w:type="dxa"/>
          </w:tcPr>
          <w:p w14:paraId="7AE1005A" w14:textId="77777777" w:rsidR="006D2651" w:rsidRPr="006D2651" w:rsidRDefault="006D2651" w:rsidP="006D2651">
            <w:pPr>
              <w:spacing w:after="0"/>
              <w:jc w:val="center"/>
              <w:rPr>
                <w:rFonts w:ascii="Times New Roman" w:hAnsi="Times New Roman"/>
                <w:sz w:val="20"/>
                <w:szCs w:val="20"/>
              </w:rPr>
            </w:pPr>
          </w:p>
        </w:tc>
        <w:tc>
          <w:tcPr>
            <w:tcW w:w="992" w:type="dxa"/>
          </w:tcPr>
          <w:p w14:paraId="24D780CC" w14:textId="77777777" w:rsidR="006D2651" w:rsidRPr="006D2651" w:rsidRDefault="006D2651" w:rsidP="006D2651">
            <w:pPr>
              <w:spacing w:after="0"/>
              <w:jc w:val="center"/>
              <w:rPr>
                <w:rFonts w:ascii="Times New Roman" w:hAnsi="Times New Roman"/>
                <w:sz w:val="20"/>
                <w:szCs w:val="20"/>
              </w:rPr>
            </w:pPr>
          </w:p>
        </w:tc>
        <w:tc>
          <w:tcPr>
            <w:tcW w:w="992" w:type="dxa"/>
          </w:tcPr>
          <w:p w14:paraId="7A74CE93" w14:textId="77777777" w:rsidR="006D2651" w:rsidRPr="006D2651" w:rsidRDefault="006D2651" w:rsidP="006D2651">
            <w:pPr>
              <w:spacing w:after="0"/>
              <w:jc w:val="center"/>
              <w:rPr>
                <w:rFonts w:ascii="Times New Roman" w:hAnsi="Times New Roman"/>
                <w:sz w:val="20"/>
                <w:szCs w:val="20"/>
              </w:rPr>
            </w:pPr>
          </w:p>
        </w:tc>
        <w:tc>
          <w:tcPr>
            <w:tcW w:w="567" w:type="dxa"/>
          </w:tcPr>
          <w:p w14:paraId="6E25CDA4" w14:textId="77777777" w:rsidR="006D2651" w:rsidRPr="006D2651" w:rsidRDefault="006D2651" w:rsidP="006D2651">
            <w:pPr>
              <w:spacing w:after="0"/>
              <w:jc w:val="center"/>
              <w:rPr>
                <w:rFonts w:ascii="Times New Roman" w:hAnsi="Times New Roman"/>
                <w:sz w:val="20"/>
                <w:szCs w:val="20"/>
              </w:rPr>
            </w:pPr>
          </w:p>
        </w:tc>
        <w:tc>
          <w:tcPr>
            <w:tcW w:w="1134" w:type="dxa"/>
          </w:tcPr>
          <w:p w14:paraId="3B4F10AD" w14:textId="77777777" w:rsidR="006D2651" w:rsidRPr="006D2651" w:rsidRDefault="006D2651" w:rsidP="006D2651">
            <w:pPr>
              <w:spacing w:after="0"/>
              <w:jc w:val="center"/>
              <w:rPr>
                <w:rFonts w:ascii="Times New Roman" w:hAnsi="Times New Roman"/>
                <w:sz w:val="20"/>
                <w:szCs w:val="20"/>
              </w:rPr>
            </w:pPr>
          </w:p>
        </w:tc>
      </w:tr>
      <w:tr w:rsidR="006D2651" w:rsidRPr="006D2651" w14:paraId="4568ECD0" w14:textId="77777777" w:rsidTr="006D2651">
        <w:tc>
          <w:tcPr>
            <w:tcW w:w="1056" w:type="dxa"/>
          </w:tcPr>
          <w:p w14:paraId="1ADDA018"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d</w:t>
            </w:r>
          </w:p>
        </w:tc>
        <w:tc>
          <w:tcPr>
            <w:tcW w:w="3705" w:type="dxa"/>
          </w:tcPr>
          <w:p w14:paraId="43536FF1"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Repair and maintenance</w:t>
            </w:r>
          </w:p>
        </w:tc>
        <w:tc>
          <w:tcPr>
            <w:tcW w:w="972" w:type="dxa"/>
          </w:tcPr>
          <w:p w14:paraId="72FA455E" w14:textId="77777777" w:rsidR="006D2651" w:rsidRPr="006D2651" w:rsidRDefault="006D2651" w:rsidP="006D2651">
            <w:pPr>
              <w:spacing w:after="0"/>
              <w:jc w:val="center"/>
              <w:rPr>
                <w:rFonts w:ascii="Times New Roman" w:hAnsi="Times New Roman"/>
                <w:sz w:val="20"/>
                <w:szCs w:val="20"/>
              </w:rPr>
            </w:pPr>
          </w:p>
        </w:tc>
        <w:tc>
          <w:tcPr>
            <w:tcW w:w="993" w:type="dxa"/>
          </w:tcPr>
          <w:p w14:paraId="064418AB" w14:textId="77777777" w:rsidR="006D2651" w:rsidRPr="006D2651" w:rsidRDefault="006D2651" w:rsidP="006D2651">
            <w:pPr>
              <w:spacing w:after="0"/>
              <w:jc w:val="center"/>
              <w:rPr>
                <w:rFonts w:ascii="Times New Roman" w:hAnsi="Times New Roman"/>
                <w:sz w:val="20"/>
                <w:szCs w:val="20"/>
              </w:rPr>
            </w:pPr>
          </w:p>
        </w:tc>
        <w:tc>
          <w:tcPr>
            <w:tcW w:w="992" w:type="dxa"/>
          </w:tcPr>
          <w:p w14:paraId="7D7312C9" w14:textId="77777777" w:rsidR="006D2651" w:rsidRPr="006D2651" w:rsidRDefault="006D2651" w:rsidP="006D2651">
            <w:pPr>
              <w:spacing w:after="0"/>
              <w:jc w:val="center"/>
              <w:rPr>
                <w:rFonts w:ascii="Times New Roman" w:hAnsi="Times New Roman"/>
                <w:sz w:val="20"/>
                <w:szCs w:val="20"/>
              </w:rPr>
            </w:pPr>
          </w:p>
        </w:tc>
        <w:tc>
          <w:tcPr>
            <w:tcW w:w="992" w:type="dxa"/>
          </w:tcPr>
          <w:p w14:paraId="42A4B1D7" w14:textId="77777777" w:rsidR="006D2651" w:rsidRPr="006D2651" w:rsidRDefault="006D2651" w:rsidP="006D2651">
            <w:pPr>
              <w:spacing w:after="0"/>
              <w:jc w:val="center"/>
              <w:rPr>
                <w:rFonts w:ascii="Times New Roman" w:hAnsi="Times New Roman"/>
                <w:sz w:val="20"/>
                <w:szCs w:val="20"/>
              </w:rPr>
            </w:pPr>
          </w:p>
        </w:tc>
        <w:tc>
          <w:tcPr>
            <w:tcW w:w="567" w:type="dxa"/>
          </w:tcPr>
          <w:p w14:paraId="434752A8" w14:textId="77777777" w:rsidR="006D2651" w:rsidRPr="006D2651" w:rsidRDefault="006D2651" w:rsidP="006D2651">
            <w:pPr>
              <w:spacing w:after="0"/>
              <w:jc w:val="center"/>
              <w:rPr>
                <w:rFonts w:ascii="Times New Roman" w:hAnsi="Times New Roman"/>
                <w:sz w:val="20"/>
                <w:szCs w:val="20"/>
              </w:rPr>
            </w:pPr>
          </w:p>
        </w:tc>
        <w:tc>
          <w:tcPr>
            <w:tcW w:w="1134" w:type="dxa"/>
          </w:tcPr>
          <w:p w14:paraId="223AD0CC" w14:textId="77777777" w:rsidR="006D2651" w:rsidRPr="006D2651" w:rsidRDefault="006D2651" w:rsidP="006D2651">
            <w:pPr>
              <w:spacing w:after="0"/>
              <w:jc w:val="center"/>
              <w:rPr>
                <w:rFonts w:ascii="Times New Roman" w:hAnsi="Times New Roman"/>
                <w:sz w:val="20"/>
                <w:szCs w:val="20"/>
              </w:rPr>
            </w:pPr>
          </w:p>
        </w:tc>
      </w:tr>
      <w:tr w:rsidR="006D2651" w:rsidRPr="006D2651" w14:paraId="013B4A4D" w14:textId="77777777" w:rsidTr="006D2651">
        <w:tc>
          <w:tcPr>
            <w:tcW w:w="1056" w:type="dxa"/>
          </w:tcPr>
          <w:p w14:paraId="6551C51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e</w:t>
            </w:r>
          </w:p>
        </w:tc>
        <w:tc>
          <w:tcPr>
            <w:tcW w:w="3705" w:type="dxa"/>
          </w:tcPr>
          <w:p w14:paraId="0D0237C2"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Gen. administrative expenses (including bank charges on bid bond and performance bond as per grant of authorization)</w:t>
            </w:r>
          </w:p>
        </w:tc>
        <w:tc>
          <w:tcPr>
            <w:tcW w:w="972" w:type="dxa"/>
          </w:tcPr>
          <w:p w14:paraId="2921B664" w14:textId="77777777" w:rsidR="006D2651" w:rsidRPr="006D2651" w:rsidRDefault="006D2651" w:rsidP="006D2651">
            <w:pPr>
              <w:spacing w:after="0"/>
              <w:jc w:val="center"/>
              <w:rPr>
                <w:rFonts w:ascii="Times New Roman" w:hAnsi="Times New Roman"/>
                <w:sz w:val="20"/>
                <w:szCs w:val="20"/>
              </w:rPr>
            </w:pPr>
          </w:p>
        </w:tc>
        <w:tc>
          <w:tcPr>
            <w:tcW w:w="993" w:type="dxa"/>
          </w:tcPr>
          <w:p w14:paraId="0D5ED48D" w14:textId="77777777" w:rsidR="006D2651" w:rsidRPr="006D2651" w:rsidRDefault="006D2651" w:rsidP="006D2651">
            <w:pPr>
              <w:spacing w:after="0"/>
              <w:jc w:val="center"/>
              <w:rPr>
                <w:rFonts w:ascii="Times New Roman" w:hAnsi="Times New Roman"/>
                <w:sz w:val="20"/>
                <w:szCs w:val="20"/>
              </w:rPr>
            </w:pPr>
          </w:p>
        </w:tc>
        <w:tc>
          <w:tcPr>
            <w:tcW w:w="992" w:type="dxa"/>
          </w:tcPr>
          <w:p w14:paraId="0A0CDDDF" w14:textId="77777777" w:rsidR="006D2651" w:rsidRPr="006D2651" w:rsidRDefault="006D2651" w:rsidP="006D2651">
            <w:pPr>
              <w:spacing w:after="0"/>
              <w:jc w:val="center"/>
              <w:rPr>
                <w:rFonts w:ascii="Times New Roman" w:hAnsi="Times New Roman"/>
                <w:sz w:val="20"/>
                <w:szCs w:val="20"/>
              </w:rPr>
            </w:pPr>
          </w:p>
        </w:tc>
        <w:tc>
          <w:tcPr>
            <w:tcW w:w="992" w:type="dxa"/>
          </w:tcPr>
          <w:p w14:paraId="2AA873C7" w14:textId="77777777" w:rsidR="006D2651" w:rsidRPr="006D2651" w:rsidRDefault="006D2651" w:rsidP="006D2651">
            <w:pPr>
              <w:spacing w:after="0"/>
              <w:jc w:val="center"/>
              <w:rPr>
                <w:rFonts w:ascii="Times New Roman" w:hAnsi="Times New Roman"/>
                <w:sz w:val="20"/>
                <w:szCs w:val="20"/>
              </w:rPr>
            </w:pPr>
          </w:p>
        </w:tc>
        <w:tc>
          <w:tcPr>
            <w:tcW w:w="567" w:type="dxa"/>
          </w:tcPr>
          <w:p w14:paraId="1B6E62E0" w14:textId="77777777" w:rsidR="006D2651" w:rsidRPr="006D2651" w:rsidRDefault="006D2651" w:rsidP="006D2651">
            <w:pPr>
              <w:spacing w:after="0"/>
              <w:jc w:val="center"/>
              <w:rPr>
                <w:rFonts w:ascii="Times New Roman" w:hAnsi="Times New Roman"/>
                <w:sz w:val="20"/>
                <w:szCs w:val="20"/>
              </w:rPr>
            </w:pPr>
          </w:p>
        </w:tc>
        <w:tc>
          <w:tcPr>
            <w:tcW w:w="1134" w:type="dxa"/>
          </w:tcPr>
          <w:p w14:paraId="74D3ED16" w14:textId="77777777" w:rsidR="006D2651" w:rsidRPr="006D2651" w:rsidRDefault="006D2651" w:rsidP="006D2651">
            <w:pPr>
              <w:spacing w:after="0"/>
              <w:jc w:val="center"/>
              <w:rPr>
                <w:rFonts w:ascii="Times New Roman" w:hAnsi="Times New Roman"/>
                <w:sz w:val="20"/>
                <w:szCs w:val="20"/>
              </w:rPr>
            </w:pPr>
          </w:p>
        </w:tc>
      </w:tr>
      <w:tr w:rsidR="006D2651" w:rsidRPr="006D2651" w14:paraId="321876C1" w14:textId="77777777" w:rsidTr="006D2651">
        <w:tc>
          <w:tcPr>
            <w:tcW w:w="1056" w:type="dxa"/>
          </w:tcPr>
          <w:p w14:paraId="5A9E0F43"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f</w:t>
            </w:r>
          </w:p>
        </w:tc>
        <w:tc>
          <w:tcPr>
            <w:tcW w:w="3705" w:type="dxa"/>
          </w:tcPr>
          <w:p w14:paraId="7CBC6C62"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Any other expenses (to be detailed)</w:t>
            </w:r>
          </w:p>
        </w:tc>
        <w:tc>
          <w:tcPr>
            <w:tcW w:w="972" w:type="dxa"/>
          </w:tcPr>
          <w:p w14:paraId="6396D83F" w14:textId="77777777" w:rsidR="006D2651" w:rsidRPr="006D2651" w:rsidRDefault="006D2651" w:rsidP="006D2651">
            <w:pPr>
              <w:spacing w:after="0"/>
              <w:jc w:val="center"/>
              <w:rPr>
                <w:rFonts w:ascii="Times New Roman" w:hAnsi="Times New Roman"/>
                <w:sz w:val="20"/>
                <w:szCs w:val="20"/>
              </w:rPr>
            </w:pPr>
          </w:p>
        </w:tc>
        <w:tc>
          <w:tcPr>
            <w:tcW w:w="993" w:type="dxa"/>
          </w:tcPr>
          <w:p w14:paraId="2CF2D16A" w14:textId="77777777" w:rsidR="006D2651" w:rsidRPr="006D2651" w:rsidRDefault="006D2651" w:rsidP="006D2651">
            <w:pPr>
              <w:spacing w:after="0"/>
              <w:jc w:val="center"/>
              <w:rPr>
                <w:rFonts w:ascii="Times New Roman" w:hAnsi="Times New Roman"/>
                <w:sz w:val="20"/>
                <w:szCs w:val="20"/>
              </w:rPr>
            </w:pPr>
          </w:p>
        </w:tc>
        <w:tc>
          <w:tcPr>
            <w:tcW w:w="992" w:type="dxa"/>
          </w:tcPr>
          <w:p w14:paraId="7A5891E4" w14:textId="77777777" w:rsidR="006D2651" w:rsidRPr="006D2651" w:rsidRDefault="006D2651" w:rsidP="006D2651">
            <w:pPr>
              <w:spacing w:after="0"/>
              <w:jc w:val="center"/>
              <w:rPr>
                <w:rFonts w:ascii="Times New Roman" w:hAnsi="Times New Roman"/>
                <w:sz w:val="20"/>
                <w:szCs w:val="20"/>
              </w:rPr>
            </w:pPr>
          </w:p>
        </w:tc>
        <w:tc>
          <w:tcPr>
            <w:tcW w:w="992" w:type="dxa"/>
          </w:tcPr>
          <w:p w14:paraId="32E1D57C" w14:textId="77777777" w:rsidR="006D2651" w:rsidRPr="006D2651" w:rsidRDefault="006D2651" w:rsidP="006D2651">
            <w:pPr>
              <w:spacing w:after="0"/>
              <w:jc w:val="center"/>
              <w:rPr>
                <w:rFonts w:ascii="Times New Roman" w:hAnsi="Times New Roman"/>
                <w:sz w:val="20"/>
                <w:szCs w:val="20"/>
              </w:rPr>
            </w:pPr>
          </w:p>
        </w:tc>
        <w:tc>
          <w:tcPr>
            <w:tcW w:w="567" w:type="dxa"/>
          </w:tcPr>
          <w:p w14:paraId="1CC7C10D" w14:textId="77777777" w:rsidR="006D2651" w:rsidRPr="006D2651" w:rsidRDefault="006D2651" w:rsidP="006D2651">
            <w:pPr>
              <w:spacing w:after="0"/>
              <w:jc w:val="center"/>
              <w:rPr>
                <w:rFonts w:ascii="Times New Roman" w:hAnsi="Times New Roman"/>
                <w:sz w:val="20"/>
                <w:szCs w:val="20"/>
              </w:rPr>
            </w:pPr>
          </w:p>
        </w:tc>
        <w:tc>
          <w:tcPr>
            <w:tcW w:w="1134" w:type="dxa"/>
          </w:tcPr>
          <w:p w14:paraId="3645E2BE" w14:textId="77777777" w:rsidR="006D2651" w:rsidRPr="006D2651" w:rsidRDefault="006D2651" w:rsidP="006D2651">
            <w:pPr>
              <w:spacing w:after="0"/>
              <w:jc w:val="center"/>
              <w:rPr>
                <w:rFonts w:ascii="Times New Roman" w:hAnsi="Times New Roman"/>
                <w:sz w:val="20"/>
                <w:szCs w:val="20"/>
              </w:rPr>
            </w:pPr>
          </w:p>
        </w:tc>
      </w:tr>
      <w:tr w:rsidR="006D2651" w:rsidRPr="006D2651" w14:paraId="2557E37F" w14:textId="77777777" w:rsidTr="006D2651">
        <w:tc>
          <w:tcPr>
            <w:tcW w:w="1056" w:type="dxa"/>
          </w:tcPr>
          <w:p w14:paraId="6F909AE2"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g</w:t>
            </w:r>
          </w:p>
        </w:tc>
        <w:tc>
          <w:tcPr>
            <w:tcW w:w="3705" w:type="dxa"/>
          </w:tcPr>
          <w:p w14:paraId="1992C8F7"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Insurance (including on line-fill quantity)</w:t>
            </w:r>
          </w:p>
        </w:tc>
        <w:tc>
          <w:tcPr>
            <w:tcW w:w="972" w:type="dxa"/>
          </w:tcPr>
          <w:p w14:paraId="2F345EC2" w14:textId="77777777" w:rsidR="006D2651" w:rsidRPr="006D2651" w:rsidRDefault="006D2651" w:rsidP="006D2651">
            <w:pPr>
              <w:spacing w:after="0"/>
              <w:jc w:val="center"/>
              <w:rPr>
                <w:rFonts w:ascii="Times New Roman" w:hAnsi="Times New Roman"/>
                <w:sz w:val="20"/>
                <w:szCs w:val="20"/>
              </w:rPr>
            </w:pPr>
          </w:p>
        </w:tc>
        <w:tc>
          <w:tcPr>
            <w:tcW w:w="993" w:type="dxa"/>
          </w:tcPr>
          <w:p w14:paraId="072406B5" w14:textId="77777777" w:rsidR="006D2651" w:rsidRPr="006D2651" w:rsidRDefault="006D2651" w:rsidP="006D2651">
            <w:pPr>
              <w:spacing w:after="0"/>
              <w:jc w:val="center"/>
              <w:rPr>
                <w:rFonts w:ascii="Times New Roman" w:hAnsi="Times New Roman"/>
                <w:sz w:val="20"/>
                <w:szCs w:val="20"/>
              </w:rPr>
            </w:pPr>
          </w:p>
        </w:tc>
        <w:tc>
          <w:tcPr>
            <w:tcW w:w="992" w:type="dxa"/>
          </w:tcPr>
          <w:p w14:paraId="0C21F326" w14:textId="77777777" w:rsidR="006D2651" w:rsidRPr="006D2651" w:rsidRDefault="006D2651" w:rsidP="006D2651">
            <w:pPr>
              <w:spacing w:after="0"/>
              <w:jc w:val="center"/>
              <w:rPr>
                <w:rFonts w:ascii="Times New Roman" w:hAnsi="Times New Roman"/>
                <w:sz w:val="20"/>
                <w:szCs w:val="20"/>
              </w:rPr>
            </w:pPr>
          </w:p>
        </w:tc>
        <w:tc>
          <w:tcPr>
            <w:tcW w:w="992" w:type="dxa"/>
          </w:tcPr>
          <w:p w14:paraId="0D799E6C" w14:textId="77777777" w:rsidR="006D2651" w:rsidRPr="006D2651" w:rsidRDefault="006D2651" w:rsidP="006D2651">
            <w:pPr>
              <w:spacing w:after="0"/>
              <w:jc w:val="center"/>
              <w:rPr>
                <w:rFonts w:ascii="Times New Roman" w:hAnsi="Times New Roman"/>
                <w:sz w:val="20"/>
                <w:szCs w:val="20"/>
              </w:rPr>
            </w:pPr>
          </w:p>
        </w:tc>
        <w:tc>
          <w:tcPr>
            <w:tcW w:w="567" w:type="dxa"/>
          </w:tcPr>
          <w:p w14:paraId="0DBF4FC2" w14:textId="77777777" w:rsidR="006D2651" w:rsidRPr="006D2651" w:rsidRDefault="006D2651" w:rsidP="006D2651">
            <w:pPr>
              <w:spacing w:after="0"/>
              <w:jc w:val="center"/>
              <w:rPr>
                <w:rFonts w:ascii="Times New Roman" w:hAnsi="Times New Roman"/>
                <w:sz w:val="20"/>
                <w:szCs w:val="20"/>
              </w:rPr>
            </w:pPr>
          </w:p>
        </w:tc>
        <w:tc>
          <w:tcPr>
            <w:tcW w:w="1134" w:type="dxa"/>
          </w:tcPr>
          <w:p w14:paraId="7F6373A1" w14:textId="77777777" w:rsidR="006D2651" w:rsidRPr="006D2651" w:rsidRDefault="006D2651" w:rsidP="006D2651">
            <w:pPr>
              <w:spacing w:after="0"/>
              <w:jc w:val="center"/>
              <w:rPr>
                <w:rFonts w:ascii="Times New Roman" w:hAnsi="Times New Roman"/>
                <w:sz w:val="20"/>
                <w:szCs w:val="20"/>
              </w:rPr>
            </w:pPr>
          </w:p>
        </w:tc>
      </w:tr>
      <w:tr w:rsidR="006D2651" w:rsidRPr="006D2651" w14:paraId="018B097C" w14:textId="77777777" w:rsidTr="006D2651">
        <w:tc>
          <w:tcPr>
            <w:tcW w:w="1056" w:type="dxa"/>
          </w:tcPr>
          <w:p w14:paraId="37BF4A4A"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3</w:t>
            </w:r>
          </w:p>
        </w:tc>
        <w:tc>
          <w:tcPr>
            <w:tcW w:w="3705" w:type="dxa"/>
          </w:tcPr>
          <w:p w14:paraId="4091D9D7"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Profit before depreciation interest and tax (PBDIT) (1 - 2)</w:t>
            </w:r>
          </w:p>
        </w:tc>
        <w:tc>
          <w:tcPr>
            <w:tcW w:w="972" w:type="dxa"/>
          </w:tcPr>
          <w:p w14:paraId="365EE898" w14:textId="77777777" w:rsidR="006D2651" w:rsidRPr="006D2651" w:rsidRDefault="006D2651" w:rsidP="006D2651">
            <w:pPr>
              <w:spacing w:after="0"/>
              <w:jc w:val="center"/>
              <w:rPr>
                <w:rFonts w:ascii="Times New Roman" w:hAnsi="Times New Roman"/>
                <w:sz w:val="20"/>
                <w:szCs w:val="20"/>
              </w:rPr>
            </w:pPr>
          </w:p>
        </w:tc>
        <w:tc>
          <w:tcPr>
            <w:tcW w:w="993" w:type="dxa"/>
          </w:tcPr>
          <w:p w14:paraId="720DE0BD" w14:textId="77777777" w:rsidR="006D2651" w:rsidRPr="006D2651" w:rsidRDefault="006D2651" w:rsidP="006D2651">
            <w:pPr>
              <w:spacing w:after="0"/>
              <w:jc w:val="center"/>
              <w:rPr>
                <w:rFonts w:ascii="Times New Roman" w:hAnsi="Times New Roman"/>
                <w:sz w:val="20"/>
                <w:szCs w:val="20"/>
              </w:rPr>
            </w:pPr>
          </w:p>
        </w:tc>
        <w:tc>
          <w:tcPr>
            <w:tcW w:w="992" w:type="dxa"/>
          </w:tcPr>
          <w:p w14:paraId="1973A47B" w14:textId="77777777" w:rsidR="006D2651" w:rsidRPr="006D2651" w:rsidRDefault="006D2651" w:rsidP="006D2651">
            <w:pPr>
              <w:spacing w:after="0"/>
              <w:jc w:val="center"/>
              <w:rPr>
                <w:rFonts w:ascii="Times New Roman" w:hAnsi="Times New Roman"/>
                <w:sz w:val="20"/>
                <w:szCs w:val="20"/>
              </w:rPr>
            </w:pPr>
          </w:p>
        </w:tc>
        <w:tc>
          <w:tcPr>
            <w:tcW w:w="992" w:type="dxa"/>
          </w:tcPr>
          <w:p w14:paraId="0479B2DE" w14:textId="77777777" w:rsidR="006D2651" w:rsidRPr="006D2651" w:rsidRDefault="006D2651" w:rsidP="006D2651">
            <w:pPr>
              <w:spacing w:after="0"/>
              <w:jc w:val="center"/>
              <w:rPr>
                <w:rFonts w:ascii="Times New Roman" w:hAnsi="Times New Roman"/>
                <w:sz w:val="20"/>
                <w:szCs w:val="20"/>
              </w:rPr>
            </w:pPr>
          </w:p>
        </w:tc>
        <w:tc>
          <w:tcPr>
            <w:tcW w:w="567" w:type="dxa"/>
          </w:tcPr>
          <w:p w14:paraId="4BCF9A42" w14:textId="77777777" w:rsidR="006D2651" w:rsidRPr="006D2651" w:rsidRDefault="006D2651" w:rsidP="006D2651">
            <w:pPr>
              <w:spacing w:after="0"/>
              <w:jc w:val="center"/>
              <w:rPr>
                <w:rFonts w:ascii="Times New Roman" w:hAnsi="Times New Roman"/>
                <w:sz w:val="20"/>
                <w:szCs w:val="20"/>
              </w:rPr>
            </w:pPr>
          </w:p>
        </w:tc>
        <w:tc>
          <w:tcPr>
            <w:tcW w:w="1134" w:type="dxa"/>
          </w:tcPr>
          <w:p w14:paraId="765DA4E0" w14:textId="77777777" w:rsidR="006D2651" w:rsidRPr="006D2651" w:rsidRDefault="006D2651" w:rsidP="006D2651">
            <w:pPr>
              <w:spacing w:after="0"/>
              <w:jc w:val="center"/>
              <w:rPr>
                <w:rFonts w:ascii="Times New Roman" w:hAnsi="Times New Roman"/>
                <w:sz w:val="20"/>
                <w:szCs w:val="20"/>
              </w:rPr>
            </w:pPr>
          </w:p>
        </w:tc>
      </w:tr>
      <w:tr w:rsidR="006D2651" w:rsidRPr="006D2651" w14:paraId="44704956" w14:textId="77777777" w:rsidTr="006D2651">
        <w:tc>
          <w:tcPr>
            <w:tcW w:w="1056" w:type="dxa"/>
          </w:tcPr>
          <w:p w14:paraId="4DF780EF"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4</w:t>
            </w:r>
          </w:p>
        </w:tc>
        <w:tc>
          <w:tcPr>
            <w:tcW w:w="3705" w:type="dxa"/>
          </w:tcPr>
          <w:p w14:paraId="2B1A3515"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Interest on working capital borrowings to the extent utilized in working capital requirement for above expenses (with rates)</w:t>
            </w:r>
          </w:p>
        </w:tc>
        <w:tc>
          <w:tcPr>
            <w:tcW w:w="972" w:type="dxa"/>
          </w:tcPr>
          <w:p w14:paraId="277326EB" w14:textId="77777777" w:rsidR="006D2651" w:rsidRPr="006D2651" w:rsidRDefault="006D2651" w:rsidP="006D2651">
            <w:pPr>
              <w:spacing w:after="0"/>
              <w:jc w:val="center"/>
              <w:rPr>
                <w:rFonts w:ascii="Times New Roman" w:hAnsi="Times New Roman"/>
                <w:sz w:val="20"/>
                <w:szCs w:val="20"/>
              </w:rPr>
            </w:pPr>
          </w:p>
        </w:tc>
        <w:tc>
          <w:tcPr>
            <w:tcW w:w="993" w:type="dxa"/>
          </w:tcPr>
          <w:p w14:paraId="07A8D95F" w14:textId="77777777" w:rsidR="006D2651" w:rsidRPr="006D2651" w:rsidRDefault="006D2651" w:rsidP="006D2651">
            <w:pPr>
              <w:spacing w:after="0"/>
              <w:jc w:val="center"/>
              <w:rPr>
                <w:rFonts w:ascii="Times New Roman" w:hAnsi="Times New Roman"/>
                <w:sz w:val="20"/>
                <w:szCs w:val="20"/>
              </w:rPr>
            </w:pPr>
          </w:p>
        </w:tc>
        <w:tc>
          <w:tcPr>
            <w:tcW w:w="992" w:type="dxa"/>
          </w:tcPr>
          <w:p w14:paraId="73A7B660" w14:textId="77777777" w:rsidR="006D2651" w:rsidRPr="006D2651" w:rsidRDefault="006D2651" w:rsidP="006D2651">
            <w:pPr>
              <w:spacing w:after="0"/>
              <w:jc w:val="center"/>
              <w:rPr>
                <w:rFonts w:ascii="Times New Roman" w:hAnsi="Times New Roman"/>
                <w:sz w:val="20"/>
                <w:szCs w:val="20"/>
              </w:rPr>
            </w:pPr>
          </w:p>
        </w:tc>
        <w:tc>
          <w:tcPr>
            <w:tcW w:w="992" w:type="dxa"/>
          </w:tcPr>
          <w:p w14:paraId="040C68CE" w14:textId="77777777" w:rsidR="006D2651" w:rsidRPr="006D2651" w:rsidRDefault="006D2651" w:rsidP="006D2651">
            <w:pPr>
              <w:spacing w:after="0"/>
              <w:jc w:val="center"/>
              <w:rPr>
                <w:rFonts w:ascii="Times New Roman" w:hAnsi="Times New Roman"/>
                <w:sz w:val="20"/>
                <w:szCs w:val="20"/>
              </w:rPr>
            </w:pPr>
          </w:p>
        </w:tc>
        <w:tc>
          <w:tcPr>
            <w:tcW w:w="567" w:type="dxa"/>
          </w:tcPr>
          <w:p w14:paraId="6B1D57E9" w14:textId="77777777" w:rsidR="006D2651" w:rsidRPr="006D2651" w:rsidRDefault="006D2651" w:rsidP="006D2651">
            <w:pPr>
              <w:spacing w:after="0"/>
              <w:jc w:val="center"/>
              <w:rPr>
                <w:rFonts w:ascii="Times New Roman" w:hAnsi="Times New Roman"/>
                <w:sz w:val="20"/>
                <w:szCs w:val="20"/>
              </w:rPr>
            </w:pPr>
          </w:p>
        </w:tc>
        <w:tc>
          <w:tcPr>
            <w:tcW w:w="1134" w:type="dxa"/>
          </w:tcPr>
          <w:p w14:paraId="5FC284DF" w14:textId="77777777" w:rsidR="006D2651" w:rsidRPr="006D2651" w:rsidRDefault="006D2651" w:rsidP="006D2651">
            <w:pPr>
              <w:spacing w:after="0"/>
              <w:jc w:val="center"/>
              <w:rPr>
                <w:rFonts w:ascii="Times New Roman" w:hAnsi="Times New Roman"/>
                <w:sz w:val="20"/>
                <w:szCs w:val="20"/>
              </w:rPr>
            </w:pPr>
          </w:p>
        </w:tc>
      </w:tr>
      <w:tr w:rsidR="006D2651" w:rsidRPr="006D2651" w14:paraId="2A6D3FCA" w14:textId="77777777" w:rsidTr="006D2651">
        <w:tc>
          <w:tcPr>
            <w:tcW w:w="1056" w:type="dxa"/>
          </w:tcPr>
          <w:p w14:paraId="22BA386B"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5</w:t>
            </w:r>
          </w:p>
        </w:tc>
        <w:tc>
          <w:tcPr>
            <w:tcW w:w="3705" w:type="dxa"/>
          </w:tcPr>
          <w:p w14:paraId="5D1321FB"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Interest on term loan (with rates)</w:t>
            </w:r>
          </w:p>
        </w:tc>
        <w:tc>
          <w:tcPr>
            <w:tcW w:w="972" w:type="dxa"/>
          </w:tcPr>
          <w:p w14:paraId="420B9477" w14:textId="77777777" w:rsidR="006D2651" w:rsidRPr="006D2651" w:rsidRDefault="006D2651" w:rsidP="006D2651">
            <w:pPr>
              <w:spacing w:after="0"/>
              <w:jc w:val="center"/>
              <w:rPr>
                <w:rFonts w:ascii="Times New Roman" w:hAnsi="Times New Roman"/>
                <w:sz w:val="20"/>
                <w:szCs w:val="20"/>
              </w:rPr>
            </w:pPr>
          </w:p>
        </w:tc>
        <w:tc>
          <w:tcPr>
            <w:tcW w:w="993" w:type="dxa"/>
          </w:tcPr>
          <w:p w14:paraId="514B83DA" w14:textId="77777777" w:rsidR="006D2651" w:rsidRPr="006D2651" w:rsidRDefault="006D2651" w:rsidP="006D2651">
            <w:pPr>
              <w:spacing w:after="0"/>
              <w:jc w:val="center"/>
              <w:rPr>
                <w:rFonts w:ascii="Times New Roman" w:hAnsi="Times New Roman"/>
                <w:sz w:val="20"/>
                <w:szCs w:val="20"/>
              </w:rPr>
            </w:pPr>
          </w:p>
        </w:tc>
        <w:tc>
          <w:tcPr>
            <w:tcW w:w="992" w:type="dxa"/>
          </w:tcPr>
          <w:p w14:paraId="590E2E3E" w14:textId="77777777" w:rsidR="006D2651" w:rsidRPr="006D2651" w:rsidRDefault="006D2651" w:rsidP="006D2651">
            <w:pPr>
              <w:spacing w:after="0"/>
              <w:jc w:val="center"/>
              <w:rPr>
                <w:rFonts w:ascii="Times New Roman" w:hAnsi="Times New Roman"/>
                <w:sz w:val="20"/>
                <w:szCs w:val="20"/>
              </w:rPr>
            </w:pPr>
          </w:p>
        </w:tc>
        <w:tc>
          <w:tcPr>
            <w:tcW w:w="992" w:type="dxa"/>
          </w:tcPr>
          <w:p w14:paraId="1010D785" w14:textId="77777777" w:rsidR="006D2651" w:rsidRPr="006D2651" w:rsidRDefault="006D2651" w:rsidP="006D2651">
            <w:pPr>
              <w:spacing w:after="0"/>
              <w:jc w:val="center"/>
              <w:rPr>
                <w:rFonts w:ascii="Times New Roman" w:hAnsi="Times New Roman"/>
                <w:sz w:val="20"/>
                <w:szCs w:val="20"/>
              </w:rPr>
            </w:pPr>
          </w:p>
        </w:tc>
        <w:tc>
          <w:tcPr>
            <w:tcW w:w="567" w:type="dxa"/>
          </w:tcPr>
          <w:p w14:paraId="7128B85E" w14:textId="77777777" w:rsidR="006D2651" w:rsidRPr="006D2651" w:rsidRDefault="006D2651" w:rsidP="006D2651">
            <w:pPr>
              <w:spacing w:after="0"/>
              <w:jc w:val="center"/>
              <w:rPr>
                <w:rFonts w:ascii="Times New Roman" w:hAnsi="Times New Roman"/>
                <w:sz w:val="20"/>
                <w:szCs w:val="20"/>
              </w:rPr>
            </w:pPr>
          </w:p>
        </w:tc>
        <w:tc>
          <w:tcPr>
            <w:tcW w:w="1134" w:type="dxa"/>
          </w:tcPr>
          <w:p w14:paraId="4235F10C" w14:textId="77777777" w:rsidR="006D2651" w:rsidRPr="006D2651" w:rsidRDefault="006D2651" w:rsidP="006D2651">
            <w:pPr>
              <w:spacing w:after="0"/>
              <w:jc w:val="center"/>
              <w:rPr>
                <w:rFonts w:ascii="Times New Roman" w:hAnsi="Times New Roman"/>
                <w:sz w:val="20"/>
                <w:szCs w:val="20"/>
              </w:rPr>
            </w:pPr>
          </w:p>
        </w:tc>
      </w:tr>
      <w:tr w:rsidR="006D2651" w:rsidRPr="006D2651" w14:paraId="3885CC73" w14:textId="77777777" w:rsidTr="006D2651">
        <w:tc>
          <w:tcPr>
            <w:tcW w:w="1056" w:type="dxa"/>
          </w:tcPr>
          <w:p w14:paraId="3C34E779"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6</w:t>
            </w:r>
          </w:p>
        </w:tc>
        <w:tc>
          <w:tcPr>
            <w:tcW w:w="3705" w:type="dxa"/>
          </w:tcPr>
          <w:p w14:paraId="54A0E48C"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Profit before depreciation and tax (PBDT) (3-4-5)</w:t>
            </w:r>
          </w:p>
        </w:tc>
        <w:tc>
          <w:tcPr>
            <w:tcW w:w="972" w:type="dxa"/>
          </w:tcPr>
          <w:p w14:paraId="3B6CB5A9" w14:textId="77777777" w:rsidR="006D2651" w:rsidRPr="006D2651" w:rsidRDefault="006D2651" w:rsidP="006D2651">
            <w:pPr>
              <w:spacing w:after="0"/>
              <w:jc w:val="center"/>
              <w:rPr>
                <w:rFonts w:ascii="Times New Roman" w:hAnsi="Times New Roman"/>
                <w:sz w:val="20"/>
                <w:szCs w:val="20"/>
              </w:rPr>
            </w:pPr>
          </w:p>
        </w:tc>
        <w:tc>
          <w:tcPr>
            <w:tcW w:w="993" w:type="dxa"/>
          </w:tcPr>
          <w:p w14:paraId="5481F653" w14:textId="77777777" w:rsidR="006D2651" w:rsidRPr="006D2651" w:rsidRDefault="006D2651" w:rsidP="006D2651">
            <w:pPr>
              <w:spacing w:after="0"/>
              <w:jc w:val="center"/>
              <w:rPr>
                <w:rFonts w:ascii="Times New Roman" w:hAnsi="Times New Roman"/>
                <w:sz w:val="20"/>
                <w:szCs w:val="20"/>
              </w:rPr>
            </w:pPr>
          </w:p>
        </w:tc>
        <w:tc>
          <w:tcPr>
            <w:tcW w:w="992" w:type="dxa"/>
          </w:tcPr>
          <w:p w14:paraId="18D3B781" w14:textId="77777777" w:rsidR="006D2651" w:rsidRPr="006D2651" w:rsidRDefault="006D2651" w:rsidP="006D2651">
            <w:pPr>
              <w:spacing w:after="0"/>
              <w:jc w:val="center"/>
              <w:rPr>
                <w:rFonts w:ascii="Times New Roman" w:hAnsi="Times New Roman"/>
                <w:sz w:val="20"/>
                <w:szCs w:val="20"/>
              </w:rPr>
            </w:pPr>
          </w:p>
        </w:tc>
        <w:tc>
          <w:tcPr>
            <w:tcW w:w="992" w:type="dxa"/>
          </w:tcPr>
          <w:p w14:paraId="0D33922E" w14:textId="77777777" w:rsidR="006D2651" w:rsidRPr="006D2651" w:rsidRDefault="006D2651" w:rsidP="006D2651">
            <w:pPr>
              <w:spacing w:after="0"/>
              <w:jc w:val="center"/>
              <w:rPr>
                <w:rFonts w:ascii="Times New Roman" w:hAnsi="Times New Roman"/>
                <w:sz w:val="20"/>
                <w:szCs w:val="20"/>
              </w:rPr>
            </w:pPr>
          </w:p>
        </w:tc>
        <w:tc>
          <w:tcPr>
            <w:tcW w:w="567" w:type="dxa"/>
          </w:tcPr>
          <w:p w14:paraId="0E7B98AD" w14:textId="77777777" w:rsidR="006D2651" w:rsidRPr="006D2651" w:rsidRDefault="006D2651" w:rsidP="006D2651">
            <w:pPr>
              <w:spacing w:after="0"/>
              <w:jc w:val="center"/>
              <w:rPr>
                <w:rFonts w:ascii="Times New Roman" w:hAnsi="Times New Roman"/>
                <w:sz w:val="20"/>
                <w:szCs w:val="20"/>
              </w:rPr>
            </w:pPr>
          </w:p>
        </w:tc>
        <w:tc>
          <w:tcPr>
            <w:tcW w:w="1134" w:type="dxa"/>
          </w:tcPr>
          <w:p w14:paraId="369CCD89" w14:textId="77777777" w:rsidR="006D2651" w:rsidRPr="006D2651" w:rsidRDefault="006D2651" w:rsidP="006D2651">
            <w:pPr>
              <w:spacing w:after="0"/>
              <w:jc w:val="center"/>
              <w:rPr>
                <w:rFonts w:ascii="Times New Roman" w:hAnsi="Times New Roman"/>
                <w:sz w:val="20"/>
                <w:szCs w:val="20"/>
              </w:rPr>
            </w:pPr>
          </w:p>
        </w:tc>
      </w:tr>
      <w:tr w:rsidR="006D2651" w:rsidRPr="006D2651" w14:paraId="3633B718" w14:textId="77777777" w:rsidTr="006D2651">
        <w:tc>
          <w:tcPr>
            <w:tcW w:w="1056" w:type="dxa"/>
          </w:tcPr>
          <w:p w14:paraId="00011CCA"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7</w:t>
            </w:r>
          </w:p>
        </w:tc>
        <w:tc>
          <w:tcPr>
            <w:tcW w:w="3705" w:type="dxa"/>
          </w:tcPr>
          <w:p w14:paraId="45BA3006"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Depreciation on SLM basis and miscellaneous expenses written off (give details of each)</w:t>
            </w:r>
          </w:p>
        </w:tc>
        <w:tc>
          <w:tcPr>
            <w:tcW w:w="972" w:type="dxa"/>
          </w:tcPr>
          <w:p w14:paraId="12D12A54" w14:textId="77777777" w:rsidR="006D2651" w:rsidRPr="006D2651" w:rsidRDefault="006D2651" w:rsidP="006D2651">
            <w:pPr>
              <w:spacing w:after="0"/>
              <w:jc w:val="center"/>
              <w:rPr>
                <w:rFonts w:ascii="Times New Roman" w:hAnsi="Times New Roman"/>
                <w:sz w:val="20"/>
                <w:szCs w:val="20"/>
              </w:rPr>
            </w:pPr>
          </w:p>
        </w:tc>
        <w:tc>
          <w:tcPr>
            <w:tcW w:w="993" w:type="dxa"/>
          </w:tcPr>
          <w:p w14:paraId="7D51992D" w14:textId="77777777" w:rsidR="006D2651" w:rsidRPr="006D2651" w:rsidRDefault="006D2651" w:rsidP="006D2651">
            <w:pPr>
              <w:spacing w:after="0"/>
              <w:jc w:val="center"/>
              <w:rPr>
                <w:rFonts w:ascii="Times New Roman" w:hAnsi="Times New Roman"/>
                <w:sz w:val="20"/>
                <w:szCs w:val="20"/>
              </w:rPr>
            </w:pPr>
          </w:p>
        </w:tc>
        <w:tc>
          <w:tcPr>
            <w:tcW w:w="992" w:type="dxa"/>
          </w:tcPr>
          <w:p w14:paraId="3E6E4A2F" w14:textId="77777777" w:rsidR="006D2651" w:rsidRPr="006D2651" w:rsidRDefault="006D2651" w:rsidP="006D2651">
            <w:pPr>
              <w:spacing w:after="0"/>
              <w:jc w:val="center"/>
              <w:rPr>
                <w:rFonts w:ascii="Times New Roman" w:hAnsi="Times New Roman"/>
                <w:sz w:val="20"/>
                <w:szCs w:val="20"/>
              </w:rPr>
            </w:pPr>
          </w:p>
        </w:tc>
        <w:tc>
          <w:tcPr>
            <w:tcW w:w="992" w:type="dxa"/>
          </w:tcPr>
          <w:p w14:paraId="2820CA36" w14:textId="77777777" w:rsidR="006D2651" w:rsidRPr="006D2651" w:rsidRDefault="006D2651" w:rsidP="006D2651">
            <w:pPr>
              <w:spacing w:after="0"/>
              <w:jc w:val="center"/>
              <w:rPr>
                <w:rFonts w:ascii="Times New Roman" w:hAnsi="Times New Roman"/>
                <w:sz w:val="20"/>
                <w:szCs w:val="20"/>
              </w:rPr>
            </w:pPr>
          </w:p>
        </w:tc>
        <w:tc>
          <w:tcPr>
            <w:tcW w:w="567" w:type="dxa"/>
          </w:tcPr>
          <w:p w14:paraId="0CFA4AFE" w14:textId="77777777" w:rsidR="006D2651" w:rsidRPr="006D2651" w:rsidRDefault="006D2651" w:rsidP="006D2651">
            <w:pPr>
              <w:spacing w:after="0"/>
              <w:jc w:val="center"/>
              <w:rPr>
                <w:rFonts w:ascii="Times New Roman" w:hAnsi="Times New Roman"/>
                <w:sz w:val="20"/>
                <w:szCs w:val="20"/>
              </w:rPr>
            </w:pPr>
          </w:p>
        </w:tc>
        <w:tc>
          <w:tcPr>
            <w:tcW w:w="1134" w:type="dxa"/>
          </w:tcPr>
          <w:p w14:paraId="791BAFC9" w14:textId="77777777" w:rsidR="006D2651" w:rsidRPr="006D2651" w:rsidRDefault="006D2651" w:rsidP="006D2651">
            <w:pPr>
              <w:spacing w:after="0"/>
              <w:jc w:val="center"/>
              <w:rPr>
                <w:rFonts w:ascii="Times New Roman" w:hAnsi="Times New Roman"/>
                <w:sz w:val="20"/>
                <w:szCs w:val="20"/>
              </w:rPr>
            </w:pPr>
          </w:p>
        </w:tc>
      </w:tr>
      <w:tr w:rsidR="006D2651" w:rsidRPr="006D2651" w14:paraId="6C599DB7" w14:textId="77777777" w:rsidTr="006D2651">
        <w:tc>
          <w:tcPr>
            <w:tcW w:w="1056" w:type="dxa"/>
          </w:tcPr>
          <w:p w14:paraId="7903DDF8"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8</w:t>
            </w:r>
          </w:p>
        </w:tc>
        <w:tc>
          <w:tcPr>
            <w:tcW w:w="3705" w:type="dxa"/>
          </w:tcPr>
          <w:p w14:paraId="24677386"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Profit before tax (PBT) (6-7)</w:t>
            </w:r>
          </w:p>
        </w:tc>
        <w:tc>
          <w:tcPr>
            <w:tcW w:w="972" w:type="dxa"/>
          </w:tcPr>
          <w:p w14:paraId="2FC79C0B" w14:textId="77777777" w:rsidR="006D2651" w:rsidRPr="006D2651" w:rsidRDefault="006D2651" w:rsidP="006D2651">
            <w:pPr>
              <w:spacing w:after="0"/>
              <w:jc w:val="center"/>
              <w:rPr>
                <w:rFonts w:ascii="Times New Roman" w:hAnsi="Times New Roman"/>
                <w:sz w:val="20"/>
                <w:szCs w:val="20"/>
              </w:rPr>
            </w:pPr>
          </w:p>
        </w:tc>
        <w:tc>
          <w:tcPr>
            <w:tcW w:w="993" w:type="dxa"/>
          </w:tcPr>
          <w:p w14:paraId="17BA2CF6" w14:textId="77777777" w:rsidR="006D2651" w:rsidRPr="006D2651" w:rsidRDefault="006D2651" w:rsidP="006D2651">
            <w:pPr>
              <w:spacing w:after="0"/>
              <w:jc w:val="center"/>
              <w:rPr>
                <w:rFonts w:ascii="Times New Roman" w:hAnsi="Times New Roman"/>
                <w:sz w:val="20"/>
                <w:szCs w:val="20"/>
              </w:rPr>
            </w:pPr>
          </w:p>
        </w:tc>
        <w:tc>
          <w:tcPr>
            <w:tcW w:w="992" w:type="dxa"/>
          </w:tcPr>
          <w:p w14:paraId="5C5BA079" w14:textId="77777777" w:rsidR="006D2651" w:rsidRPr="006D2651" w:rsidRDefault="006D2651" w:rsidP="006D2651">
            <w:pPr>
              <w:spacing w:after="0"/>
              <w:jc w:val="center"/>
              <w:rPr>
                <w:rFonts w:ascii="Times New Roman" w:hAnsi="Times New Roman"/>
                <w:sz w:val="20"/>
                <w:szCs w:val="20"/>
              </w:rPr>
            </w:pPr>
          </w:p>
        </w:tc>
        <w:tc>
          <w:tcPr>
            <w:tcW w:w="992" w:type="dxa"/>
          </w:tcPr>
          <w:p w14:paraId="42282A42" w14:textId="77777777" w:rsidR="006D2651" w:rsidRPr="006D2651" w:rsidRDefault="006D2651" w:rsidP="006D2651">
            <w:pPr>
              <w:spacing w:after="0"/>
              <w:jc w:val="center"/>
              <w:rPr>
                <w:rFonts w:ascii="Times New Roman" w:hAnsi="Times New Roman"/>
                <w:sz w:val="20"/>
                <w:szCs w:val="20"/>
              </w:rPr>
            </w:pPr>
          </w:p>
        </w:tc>
        <w:tc>
          <w:tcPr>
            <w:tcW w:w="567" w:type="dxa"/>
          </w:tcPr>
          <w:p w14:paraId="19E9F9D3" w14:textId="77777777" w:rsidR="006D2651" w:rsidRPr="006D2651" w:rsidRDefault="006D2651" w:rsidP="006D2651">
            <w:pPr>
              <w:spacing w:after="0"/>
              <w:jc w:val="center"/>
              <w:rPr>
                <w:rFonts w:ascii="Times New Roman" w:hAnsi="Times New Roman"/>
                <w:sz w:val="20"/>
                <w:szCs w:val="20"/>
              </w:rPr>
            </w:pPr>
          </w:p>
        </w:tc>
        <w:tc>
          <w:tcPr>
            <w:tcW w:w="1134" w:type="dxa"/>
          </w:tcPr>
          <w:p w14:paraId="4021D0F2" w14:textId="77777777" w:rsidR="006D2651" w:rsidRPr="006D2651" w:rsidRDefault="006D2651" w:rsidP="006D2651">
            <w:pPr>
              <w:spacing w:after="0"/>
              <w:jc w:val="center"/>
              <w:rPr>
                <w:rFonts w:ascii="Times New Roman" w:hAnsi="Times New Roman"/>
                <w:sz w:val="20"/>
                <w:szCs w:val="20"/>
              </w:rPr>
            </w:pPr>
          </w:p>
        </w:tc>
      </w:tr>
      <w:tr w:rsidR="006D2651" w:rsidRPr="006D2651" w14:paraId="1C60D641" w14:textId="77777777" w:rsidTr="006D2651">
        <w:tc>
          <w:tcPr>
            <w:tcW w:w="1056" w:type="dxa"/>
          </w:tcPr>
          <w:p w14:paraId="45047276" w14:textId="77777777" w:rsidR="006D2651" w:rsidRPr="006D2651" w:rsidRDefault="006D2651" w:rsidP="006D2651">
            <w:pPr>
              <w:spacing w:after="0"/>
              <w:jc w:val="center"/>
              <w:rPr>
                <w:rFonts w:ascii="Times New Roman" w:hAnsi="Times New Roman"/>
                <w:sz w:val="20"/>
                <w:szCs w:val="20"/>
              </w:rPr>
            </w:pPr>
            <w:r w:rsidRPr="006D2651">
              <w:rPr>
                <w:rFonts w:ascii="Times New Roman" w:hAnsi="Times New Roman"/>
                <w:sz w:val="20"/>
                <w:szCs w:val="20"/>
              </w:rPr>
              <w:t>9</w:t>
            </w:r>
          </w:p>
        </w:tc>
        <w:tc>
          <w:tcPr>
            <w:tcW w:w="3705" w:type="dxa"/>
          </w:tcPr>
          <w:p w14:paraId="56A7F1CE"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Tax provision (provide as per income tax rules in force)</w:t>
            </w:r>
          </w:p>
        </w:tc>
        <w:tc>
          <w:tcPr>
            <w:tcW w:w="972" w:type="dxa"/>
          </w:tcPr>
          <w:p w14:paraId="03F45CFB" w14:textId="77777777" w:rsidR="006D2651" w:rsidRPr="006D2651" w:rsidRDefault="006D2651" w:rsidP="006D2651">
            <w:pPr>
              <w:spacing w:after="0"/>
              <w:jc w:val="center"/>
              <w:rPr>
                <w:rFonts w:ascii="Times New Roman" w:hAnsi="Times New Roman"/>
                <w:sz w:val="20"/>
                <w:szCs w:val="20"/>
              </w:rPr>
            </w:pPr>
          </w:p>
        </w:tc>
        <w:tc>
          <w:tcPr>
            <w:tcW w:w="993" w:type="dxa"/>
          </w:tcPr>
          <w:p w14:paraId="509FC74C" w14:textId="77777777" w:rsidR="006D2651" w:rsidRPr="006D2651" w:rsidRDefault="006D2651" w:rsidP="006D2651">
            <w:pPr>
              <w:spacing w:after="0"/>
              <w:jc w:val="center"/>
              <w:rPr>
                <w:rFonts w:ascii="Times New Roman" w:hAnsi="Times New Roman"/>
                <w:sz w:val="20"/>
                <w:szCs w:val="20"/>
              </w:rPr>
            </w:pPr>
          </w:p>
        </w:tc>
        <w:tc>
          <w:tcPr>
            <w:tcW w:w="992" w:type="dxa"/>
          </w:tcPr>
          <w:p w14:paraId="1CAD9EB4" w14:textId="77777777" w:rsidR="006D2651" w:rsidRPr="006D2651" w:rsidRDefault="006D2651" w:rsidP="006D2651">
            <w:pPr>
              <w:spacing w:after="0"/>
              <w:jc w:val="center"/>
              <w:rPr>
                <w:rFonts w:ascii="Times New Roman" w:hAnsi="Times New Roman"/>
                <w:sz w:val="20"/>
                <w:szCs w:val="20"/>
              </w:rPr>
            </w:pPr>
          </w:p>
        </w:tc>
        <w:tc>
          <w:tcPr>
            <w:tcW w:w="992" w:type="dxa"/>
          </w:tcPr>
          <w:p w14:paraId="4BAE2F0A" w14:textId="77777777" w:rsidR="006D2651" w:rsidRPr="006D2651" w:rsidRDefault="006D2651" w:rsidP="006D2651">
            <w:pPr>
              <w:spacing w:after="0"/>
              <w:jc w:val="center"/>
              <w:rPr>
                <w:rFonts w:ascii="Times New Roman" w:hAnsi="Times New Roman"/>
                <w:sz w:val="20"/>
                <w:szCs w:val="20"/>
              </w:rPr>
            </w:pPr>
          </w:p>
        </w:tc>
        <w:tc>
          <w:tcPr>
            <w:tcW w:w="567" w:type="dxa"/>
          </w:tcPr>
          <w:p w14:paraId="744F6FB1" w14:textId="77777777" w:rsidR="006D2651" w:rsidRPr="006D2651" w:rsidRDefault="006D2651" w:rsidP="006D2651">
            <w:pPr>
              <w:spacing w:after="0"/>
              <w:jc w:val="center"/>
              <w:rPr>
                <w:rFonts w:ascii="Times New Roman" w:hAnsi="Times New Roman"/>
                <w:sz w:val="20"/>
                <w:szCs w:val="20"/>
              </w:rPr>
            </w:pPr>
          </w:p>
        </w:tc>
        <w:tc>
          <w:tcPr>
            <w:tcW w:w="1134" w:type="dxa"/>
          </w:tcPr>
          <w:p w14:paraId="267CCA12" w14:textId="77777777" w:rsidR="006D2651" w:rsidRPr="006D2651" w:rsidRDefault="006D2651" w:rsidP="006D2651">
            <w:pPr>
              <w:spacing w:after="0"/>
              <w:jc w:val="center"/>
              <w:rPr>
                <w:rFonts w:ascii="Times New Roman" w:hAnsi="Times New Roman"/>
                <w:sz w:val="20"/>
                <w:szCs w:val="20"/>
              </w:rPr>
            </w:pPr>
          </w:p>
        </w:tc>
      </w:tr>
      <w:tr w:rsidR="006D2651" w:rsidRPr="006D2651" w14:paraId="2310F854" w14:textId="77777777" w:rsidTr="006D2651">
        <w:tc>
          <w:tcPr>
            <w:tcW w:w="1056" w:type="dxa"/>
          </w:tcPr>
          <w:p w14:paraId="4A083A8E" w14:textId="77777777" w:rsidR="006D2651" w:rsidRPr="006D2651" w:rsidRDefault="006D2651" w:rsidP="006D2651">
            <w:pPr>
              <w:spacing w:after="0"/>
              <w:jc w:val="center"/>
              <w:rPr>
                <w:rFonts w:ascii="Times New Roman" w:hAnsi="Times New Roman"/>
                <w:b/>
                <w:sz w:val="20"/>
                <w:szCs w:val="20"/>
              </w:rPr>
            </w:pPr>
            <w:r w:rsidRPr="006D2651">
              <w:rPr>
                <w:rFonts w:ascii="Times New Roman" w:hAnsi="Times New Roman"/>
                <w:b/>
                <w:sz w:val="20"/>
                <w:szCs w:val="20"/>
              </w:rPr>
              <w:t>10</w:t>
            </w:r>
          </w:p>
        </w:tc>
        <w:tc>
          <w:tcPr>
            <w:tcW w:w="3705" w:type="dxa"/>
          </w:tcPr>
          <w:p w14:paraId="38BB233E" w14:textId="77777777" w:rsidR="006D2651" w:rsidRPr="006D2651" w:rsidRDefault="006D2651" w:rsidP="006D2651">
            <w:pPr>
              <w:spacing w:after="0"/>
              <w:jc w:val="both"/>
              <w:rPr>
                <w:rFonts w:ascii="Times New Roman" w:hAnsi="Times New Roman"/>
                <w:b/>
                <w:sz w:val="20"/>
                <w:szCs w:val="20"/>
              </w:rPr>
            </w:pPr>
            <w:r w:rsidRPr="006D2651">
              <w:rPr>
                <w:rFonts w:ascii="Times New Roman" w:hAnsi="Times New Roman"/>
                <w:b/>
                <w:sz w:val="20"/>
                <w:szCs w:val="20"/>
              </w:rPr>
              <w:t>Profit after tax (PAT) (8-9)</w:t>
            </w:r>
          </w:p>
        </w:tc>
        <w:tc>
          <w:tcPr>
            <w:tcW w:w="972" w:type="dxa"/>
          </w:tcPr>
          <w:p w14:paraId="7E43CA33" w14:textId="77777777" w:rsidR="006D2651" w:rsidRPr="006D2651" w:rsidRDefault="006D2651" w:rsidP="006D2651">
            <w:pPr>
              <w:spacing w:after="0"/>
              <w:jc w:val="center"/>
              <w:rPr>
                <w:rFonts w:ascii="Times New Roman" w:hAnsi="Times New Roman"/>
                <w:sz w:val="20"/>
                <w:szCs w:val="20"/>
              </w:rPr>
            </w:pPr>
          </w:p>
        </w:tc>
        <w:tc>
          <w:tcPr>
            <w:tcW w:w="993" w:type="dxa"/>
          </w:tcPr>
          <w:p w14:paraId="09B10E14" w14:textId="77777777" w:rsidR="006D2651" w:rsidRPr="006D2651" w:rsidRDefault="006D2651" w:rsidP="006D2651">
            <w:pPr>
              <w:spacing w:after="0"/>
              <w:jc w:val="center"/>
              <w:rPr>
                <w:rFonts w:ascii="Times New Roman" w:hAnsi="Times New Roman"/>
                <w:sz w:val="20"/>
                <w:szCs w:val="20"/>
              </w:rPr>
            </w:pPr>
          </w:p>
        </w:tc>
        <w:tc>
          <w:tcPr>
            <w:tcW w:w="992" w:type="dxa"/>
          </w:tcPr>
          <w:p w14:paraId="6875B901" w14:textId="77777777" w:rsidR="006D2651" w:rsidRPr="006D2651" w:rsidRDefault="006D2651" w:rsidP="006D2651">
            <w:pPr>
              <w:spacing w:after="0"/>
              <w:jc w:val="center"/>
              <w:rPr>
                <w:rFonts w:ascii="Times New Roman" w:hAnsi="Times New Roman"/>
                <w:sz w:val="20"/>
                <w:szCs w:val="20"/>
              </w:rPr>
            </w:pPr>
          </w:p>
        </w:tc>
        <w:tc>
          <w:tcPr>
            <w:tcW w:w="992" w:type="dxa"/>
          </w:tcPr>
          <w:p w14:paraId="07474DDC" w14:textId="77777777" w:rsidR="006D2651" w:rsidRPr="006D2651" w:rsidRDefault="006D2651" w:rsidP="006D2651">
            <w:pPr>
              <w:spacing w:after="0"/>
              <w:jc w:val="center"/>
              <w:rPr>
                <w:rFonts w:ascii="Times New Roman" w:hAnsi="Times New Roman"/>
                <w:sz w:val="20"/>
                <w:szCs w:val="20"/>
              </w:rPr>
            </w:pPr>
          </w:p>
        </w:tc>
        <w:tc>
          <w:tcPr>
            <w:tcW w:w="567" w:type="dxa"/>
          </w:tcPr>
          <w:p w14:paraId="55829303" w14:textId="77777777" w:rsidR="006D2651" w:rsidRPr="006D2651" w:rsidRDefault="006D2651" w:rsidP="006D2651">
            <w:pPr>
              <w:spacing w:after="0"/>
              <w:jc w:val="center"/>
              <w:rPr>
                <w:rFonts w:ascii="Times New Roman" w:hAnsi="Times New Roman"/>
                <w:sz w:val="20"/>
                <w:szCs w:val="20"/>
              </w:rPr>
            </w:pPr>
          </w:p>
        </w:tc>
        <w:tc>
          <w:tcPr>
            <w:tcW w:w="1134" w:type="dxa"/>
          </w:tcPr>
          <w:p w14:paraId="0D4ECCBC" w14:textId="77777777" w:rsidR="006D2651" w:rsidRPr="006D2651" w:rsidRDefault="006D2651" w:rsidP="006D2651">
            <w:pPr>
              <w:spacing w:after="0"/>
              <w:jc w:val="center"/>
              <w:rPr>
                <w:rFonts w:ascii="Times New Roman" w:hAnsi="Times New Roman"/>
                <w:sz w:val="20"/>
                <w:szCs w:val="20"/>
              </w:rPr>
            </w:pPr>
          </w:p>
        </w:tc>
      </w:tr>
      <w:tr w:rsidR="006D2651" w:rsidRPr="006D2651" w14:paraId="340AEDDC" w14:textId="77777777" w:rsidTr="006D2651">
        <w:tc>
          <w:tcPr>
            <w:tcW w:w="1056" w:type="dxa"/>
          </w:tcPr>
          <w:p w14:paraId="5D13728D" w14:textId="77777777" w:rsidR="006D2651" w:rsidRPr="006D2651" w:rsidRDefault="006D2651" w:rsidP="006D2651">
            <w:pPr>
              <w:spacing w:after="0"/>
              <w:jc w:val="center"/>
              <w:rPr>
                <w:rFonts w:ascii="Times New Roman" w:hAnsi="Times New Roman"/>
                <w:sz w:val="20"/>
                <w:szCs w:val="20"/>
              </w:rPr>
            </w:pPr>
          </w:p>
        </w:tc>
        <w:tc>
          <w:tcPr>
            <w:tcW w:w="3705" w:type="dxa"/>
          </w:tcPr>
          <w:p w14:paraId="4E1E625D" w14:textId="77777777" w:rsidR="006D2651" w:rsidRPr="006D2651" w:rsidRDefault="006D2651" w:rsidP="006D2651">
            <w:pPr>
              <w:spacing w:after="0"/>
              <w:jc w:val="both"/>
              <w:rPr>
                <w:rFonts w:ascii="Times New Roman" w:hAnsi="Times New Roman"/>
                <w:sz w:val="20"/>
                <w:szCs w:val="20"/>
              </w:rPr>
            </w:pPr>
            <w:r w:rsidRPr="006D2651">
              <w:rPr>
                <w:rFonts w:ascii="Times New Roman" w:hAnsi="Times New Roman"/>
                <w:sz w:val="20"/>
                <w:szCs w:val="20"/>
              </w:rPr>
              <w:t>Cash from operation (CFO) (10+7) – To be transferred to cash flow sheet</w:t>
            </w:r>
          </w:p>
        </w:tc>
        <w:tc>
          <w:tcPr>
            <w:tcW w:w="972" w:type="dxa"/>
          </w:tcPr>
          <w:p w14:paraId="7EB06D23" w14:textId="77777777" w:rsidR="006D2651" w:rsidRPr="006D2651" w:rsidRDefault="006D2651" w:rsidP="006D2651">
            <w:pPr>
              <w:spacing w:after="0"/>
              <w:jc w:val="center"/>
              <w:rPr>
                <w:rFonts w:ascii="Times New Roman" w:hAnsi="Times New Roman"/>
                <w:sz w:val="20"/>
                <w:szCs w:val="20"/>
              </w:rPr>
            </w:pPr>
          </w:p>
        </w:tc>
        <w:tc>
          <w:tcPr>
            <w:tcW w:w="993" w:type="dxa"/>
          </w:tcPr>
          <w:p w14:paraId="5157D25F" w14:textId="77777777" w:rsidR="006D2651" w:rsidRPr="006D2651" w:rsidRDefault="006D2651" w:rsidP="006D2651">
            <w:pPr>
              <w:spacing w:after="0"/>
              <w:jc w:val="center"/>
              <w:rPr>
                <w:rFonts w:ascii="Times New Roman" w:hAnsi="Times New Roman"/>
                <w:sz w:val="20"/>
                <w:szCs w:val="20"/>
              </w:rPr>
            </w:pPr>
          </w:p>
        </w:tc>
        <w:tc>
          <w:tcPr>
            <w:tcW w:w="992" w:type="dxa"/>
          </w:tcPr>
          <w:p w14:paraId="312E6DB0" w14:textId="77777777" w:rsidR="006D2651" w:rsidRPr="006D2651" w:rsidRDefault="006D2651" w:rsidP="006D2651">
            <w:pPr>
              <w:spacing w:after="0"/>
              <w:jc w:val="center"/>
              <w:rPr>
                <w:rFonts w:ascii="Times New Roman" w:hAnsi="Times New Roman"/>
                <w:sz w:val="20"/>
                <w:szCs w:val="20"/>
              </w:rPr>
            </w:pPr>
          </w:p>
        </w:tc>
        <w:tc>
          <w:tcPr>
            <w:tcW w:w="992" w:type="dxa"/>
          </w:tcPr>
          <w:p w14:paraId="5D32D758" w14:textId="77777777" w:rsidR="006D2651" w:rsidRPr="006D2651" w:rsidRDefault="006D2651" w:rsidP="006D2651">
            <w:pPr>
              <w:spacing w:after="0"/>
              <w:jc w:val="center"/>
              <w:rPr>
                <w:rFonts w:ascii="Times New Roman" w:hAnsi="Times New Roman"/>
                <w:sz w:val="20"/>
                <w:szCs w:val="20"/>
              </w:rPr>
            </w:pPr>
          </w:p>
        </w:tc>
        <w:tc>
          <w:tcPr>
            <w:tcW w:w="567" w:type="dxa"/>
          </w:tcPr>
          <w:p w14:paraId="027C4614" w14:textId="77777777" w:rsidR="006D2651" w:rsidRPr="006D2651" w:rsidRDefault="006D2651" w:rsidP="006D2651">
            <w:pPr>
              <w:spacing w:after="0"/>
              <w:jc w:val="center"/>
              <w:rPr>
                <w:rFonts w:ascii="Times New Roman" w:hAnsi="Times New Roman"/>
                <w:sz w:val="20"/>
                <w:szCs w:val="20"/>
              </w:rPr>
            </w:pPr>
          </w:p>
        </w:tc>
        <w:tc>
          <w:tcPr>
            <w:tcW w:w="1134" w:type="dxa"/>
          </w:tcPr>
          <w:p w14:paraId="74993173" w14:textId="77777777" w:rsidR="006D2651" w:rsidRPr="006D2651" w:rsidRDefault="006D2651" w:rsidP="006D2651">
            <w:pPr>
              <w:spacing w:after="0"/>
              <w:jc w:val="center"/>
              <w:rPr>
                <w:rFonts w:ascii="Times New Roman" w:hAnsi="Times New Roman"/>
                <w:sz w:val="20"/>
                <w:szCs w:val="20"/>
              </w:rPr>
            </w:pPr>
          </w:p>
        </w:tc>
      </w:tr>
    </w:tbl>
    <w:p w14:paraId="2253DCAD" w14:textId="77777777" w:rsidR="006D2651" w:rsidRPr="006D2651" w:rsidRDefault="006D2651" w:rsidP="006D2651">
      <w:pPr>
        <w:pStyle w:val="NormalWeb"/>
        <w:spacing w:before="0" w:beforeAutospacing="0" w:after="0" w:afterAutospacing="0" w:line="276" w:lineRule="auto"/>
        <w:ind w:left="600"/>
        <w:jc w:val="center"/>
        <w:rPr>
          <w:sz w:val="20"/>
          <w:szCs w:val="20"/>
        </w:rPr>
      </w:pPr>
    </w:p>
    <w:p w14:paraId="0645A4D4" w14:textId="77777777" w:rsidR="006D2651" w:rsidRPr="006D2651" w:rsidRDefault="006D2651" w:rsidP="006D2651">
      <w:pPr>
        <w:spacing w:after="0"/>
        <w:rPr>
          <w:rFonts w:ascii="Times New Roman" w:hAnsi="Times New Roman"/>
          <w:sz w:val="20"/>
          <w:szCs w:val="20"/>
        </w:rPr>
      </w:pPr>
      <w:r w:rsidRPr="006D2651">
        <w:rPr>
          <w:rFonts w:ascii="Times New Roman" w:hAnsi="Times New Roman"/>
          <w:sz w:val="20"/>
          <w:szCs w:val="20"/>
        </w:rPr>
        <w:t>($) Actual or estimates, wherever applicable</w:t>
      </w:r>
    </w:p>
    <w:p w14:paraId="38D11389" w14:textId="77777777" w:rsidR="006D2651" w:rsidRPr="006D2651" w:rsidRDefault="006D2651" w:rsidP="006D2651">
      <w:pPr>
        <w:spacing w:after="0"/>
        <w:jc w:val="both"/>
        <w:rPr>
          <w:rFonts w:ascii="Times New Roman" w:hAnsi="Times New Roman"/>
          <w:b/>
          <w:bCs/>
          <w:i/>
          <w:iCs/>
          <w:color w:val="FF0000"/>
          <w:sz w:val="20"/>
          <w:szCs w:val="20"/>
        </w:rPr>
      </w:pPr>
      <w:r w:rsidRPr="006D2651">
        <w:rPr>
          <w:rFonts w:ascii="Times New Roman" w:hAnsi="Times New Roman"/>
          <w:sz w:val="20"/>
          <w:szCs w:val="20"/>
        </w:rPr>
        <w:t>(*) Excluding all direct, indirect and allocated common cost beyond transportation of petroleum and petroleum products pipeline. Financial costs and selling expenses to be excluded</w:t>
      </w:r>
    </w:p>
    <w:p w14:paraId="47E7434A" w14:textId="77777777" w:rsidR="006D2651" w:rsidRPr="006D2651" w:rsidRDefault="006D2651" w:rsidP="006D2651">
      <w:pPr>
        <w:spacing w:after="0"/>
        <w:rPr>
          <w:rFonts w:ascii="Times New Roman" w:hAnsi="Times New Roman"/>
          <w:sz w:val="20"/>
          <w:szCs w:val="20"/>
          <w:u w:val="single"/>
        </w:rPr>
      </w:pPr>
      <w:r w:rsidRPr="006D2651">
        <w:rPr>
          <w:rFonts w:ascii="Times New Roman" w:hAnsi="Times New Roman"/>
          <w:sz w:val="20"/>
          <w:szCs w:val="20"/>
          <w:u w:val="single"/>
        </w:rPr>
        <w:t>Notes:</w:t>
      </w:r>
    </w:p>
    <w:p w14:paraId="0E0D4387" w14:textId="77777777" w:rsidR="006D2651" w:rsidRPr="006D2651" w:rsidRDefault="006D2651" w:rsidP="006D2651">
      <w:pPr>
        <w:pStyle w:val="ListParagraph"/>
        <w:numPr>
          <w:ilvl w:val="3"/>
          <w:numId w:val="3"/>
        </w:numPr>
        <w:spacing w:after="0"/>
        <w:ind w:left="426"/>
        <w:jc w:val="both"/>
        <w:rPr>
          <w:rFonts w:ascii="Times New Roman" w:hAnsi="Times New Roman"/>
          <w:sz w:val="20"/>
          <w:szCs w:val="20"/>
        </w:rPr>
      </w:pPr>
      <w:r w:rsidRPr="006D2651">
        <w:rPr>
          <w:rFonts w:ascii="Times New Roman" w:hAnsi="Times New Roman"/>
          <w:sz w:val="20"/>
          <w:szCs w:val="20"/>
        </w:rPr>
        <w:t>Copy of Audited Profit and Loss Account to be attached wherever applicable.</w:t>
      </w:r>
    </w:p>
    <w:p w14:paraId="0D419EDD" w14:textId="39316CF2" w:rsidR="006D2651" w:rsidRDefault="006D2651" w:rsidP="006D2651">
      <w:pPr>
        <w:pStyle w:val="ListParagraph"/>
        <w:numPr>
          <w:ilvl w:val="3"/>
          <w:numId w:val="3"/>
        </w:numPr>
        <w:spacing w:after="0"/>
        <w:ind w:left="426"/>
        <w:jc w:val="both"/>
        <w:rPr>
          <w:rFonts w:ascii="Times New Roman" w:hAnsi="Times New Roman"/>
          <w:sz w:val="20"/>
          <w:szCs w:val="20"/>
        </w:rPr>
      </w:pPr>
      <w:r w:rsidRPr="006D2651">
        <w:rPr>
          <w:rFonts w:ascii="Times New Roman" w:hAnsi="Times New Roman"/>
          <w:sz w:val="20"/>
          <w:szCs w:val="20"/>
        </w:rPr>
        <w:t xml:space="preserve">In respect of actuals wherever figures are not matching with the audited books of accounts, a reconciliation with the books of accounts/audited trial balances duly certified by a practicing Chartered Accountant.  </w:t>
      </w:r>
    </w:p>
    <w:p w14:paraId="382D5290" w14:textId="77777777" w:rsidR="00C90AAE" w:rsidRPr="00C90AAE" w:rsidRDefault="00C90AAE" w:rsidP="00C90AAE">
      <w:pPr>
        <w:pStyle w:val="ListParagraph"/>
        <w:spacing w:after="0"/>
        <w:ind w:left="426"/>
        <w:jc w:val="both"/>
        <w:rPr>
          <w:rFonts w:ascii="Times New Roman" w:hAnsi="Times New Roman"/>
          <w:sz w:val="20"/>
          <w:szCs w:val="20"/>
        </w:rPr>
      </w:pPr>
    </w:p>
    <w:p w14:paraId="2DC1F0BC" w14:textId="77777777" w:rsidR="0099442F" w:rsidRPr="006D2651" w:rsidRDefault="0099442F" w:rsidP="0099442F">
      <w:pPr>
        <w:jc w:val="center"/>
        <w:rPr>
          <w:rFonts w:ascii="Times New Roman" w:hAnsi="Times New Roman"/>
          <w:b/>
          <w:bCs/>
          <w:sz w:val="20"/>
          <w:szCs w:val="20"/>
        </w:rPr>
      </w:pPr>
      <w:r w:rsidRPr="006D2651">
        <w:rPr>
          <w:rFonts w:ascii="Times New Roman" w:hAnsi="Times New Roman"/>
          <w:b/>
          <w:bCs/>
          <w:sz w:val="20"/>
          <w:szCs w:val="20"/>
        </w:rPr>
        <w:t>Attachment 1(g)</w:t>
      </w:r>
    </w:p>
    <w:p w14:paraId="043D2E92" w14:textId="77777777" w:rsidR="0099442F" w:rsidRPr="006D2651" w:rsidRDefault="0099442F" w:rsidP="0099442F">
      <w:pPr>
        <w:jc w:val="center"/>
        <w:rPr>
          <w:rFonts w:ascii="Times New Roman" w:hAnsi="Times New Roman"/>
          <w:b/>
          <w:sz w:val="20"/>
          <w:szCs w:val="20"/>
        </w:rPr>
      </w:pPr>
      <w:r w:rsidRPr="006D2651">
        <w:rPr>
          <w:rFonts w:ascii="Times New Roman" w:hAnsi="Times New Roman"/>
          <w:b/>
          <w:sz w:val="20"/>
          <w:szCs w:val="20"/>
        </w:rPr>
        <w:t>Annual Operating Cost Summary</w:t>
      </w:r>
    </w:p>
    <w:tbl>
      <w:tblPr>
        <w:tblStyle w:val="TableGrid"/>
        <w:tblW w:w="0" w:type="auto"/>
        <w:tblLook w:val="04A0" w:firstRow="1" w:lastRow="0" w:firstColumn="1" w:lastColumn="0" w:noHBand="0" w:noVBand="1"/>
      </w:tblPr>
      <w:tblGrid>
        <w:gridCol w:w="763"/>
        <w:gridCol w:w="3912"/>
        <w:gridCol w:w="2802"/>
        <w:gridCol w:w="1873"/>
      </w:tblGrid>
      <w:tr w:rsidR="0099442F" w:rsidRPr="006D2651" w14:paraId="5C3D41BA" w14:textId="77777777" w:rsidTr="00A10F1B">
        <w:trPr>
          <w:tblHeader/>
        </w:trPr>
        <w:tc>
          <w:tcPr>
            <w:tcW w:w="763" w:type="dxa"/>
            <w:vAlign w:val="center"/>
          </w:tcPr>
          <w:p w14:paraId="3A305B73" w14:textId="77777777" w:rsidR="0099442F" w:rsidRPr="006D2651" w:rsidRDefault="0099442F" w:rsidP="00A10F1B">
            <w:pPr>
              <w:spacing w:after="0"/>
              <w:jc w:val="center"/>
              <w:rPr>
                <w:rFonts w:ascii="Times New Roman" w:hAnsi="Times New Roman"/>
                <w:b/>
                <w:bCs/>
                <w:sz w:val="20"/>
                <w:szCs w:val="20"/>
              </w:rPr>
            </w:pPr>
            <w:proofErr w:type="spellStart"/>
            <w:r w:rsidRPr="006D2651">
              <w:rPr>
                <w:rFonts w:ascii="Times New Roman" w:hAnsi="Times New Roman"/>
                <w:b/>
                <w:bCs/>
                <w:sz w:val="20"/>
                <w:szCs w:val="20"/>
              </w:rPr>
              <w:t>S.No</w:t>
            </w:r>
            <w:proofErr w:type="spellEnd"/>
            <w:r w:rsidRPr="006D2651">
              <w:rPr>
                <w:rFonts w:ascii="Times New Roman" w:hAnsi="Times New Roman"/>
                <w:b/>
                <w:bCs/>
                <w:sz w:val="20"/>
                <w:szCs w:val="20"/>
              </w:rPr>
              <w:t>.</w:t>
            </w:r>
          </w:p>
        </w:tc>
        <w:tc>
          <w:tcPr>
            <w:tcW w:w="3912" w:type="dxa"/>
            <w:vAlign w:val="center"/>
          </w:tcPr>
          <w:p w14:paraId="6C311E65" w14:textId="77777777" w:rsidR="0099442F" w:rsidRPr="006D2651" w:rsidRDefault="0099442F" w:rsidP="00A10F1B">
            <w:pPr>
              <w:spacing w:after="0"/>
              <w:jc w:val="center"/>
              <w:rPr>
                <w:rFonts w:ascii="Times New Roman" w:hAnsi="Times New Roman"/>
                <w:b/>
                <w:bCs/>
                <w:sz w:val="20"/>
                <w:szCs w:val="20"/>
              </w:rPr>
            </w:pPr>
            <w:r w:rsidRPr="006D2651">
              <w:rPr>
                <w:rFonts w:ascii="Times New Roman" w:hAnsi="Times New Roman"/>
                <w:b/>
                <w:bCs/>
                <w:sz w:val="20"/>
                <w:szCs w:val="20"/>
              </w:rPr>
              <w:t>Description of items</w:t>
            </w:r>
          </w:p>
        </w:tc>
        <w:tc>
          <w:tcPr>
            <w:tcW w:w="2802" w:type="dxa"/>
            <w:vAlign w:val="center"/>
          </w:tcPr>
          <w:p w14:paraId="3367FDCE" w14:textId="77777777" w:rsidR="0099442F" w:rsidRPr="006D2651" w:rsidRDefault="0099442F" w:rsidP="00A10F1B">
            <w:pPr>
              <w:spacing w:after="0"/>
              <w:jc w:val="center"/>
              <w:rPr>
                <w:rFonts w:ascii="Times New Roman" w:hAnsi="Times New Roman"/>
                <w:b/>
                <w:bCs/>
                <w:sz w:val="20"/>
                <w:szCs w:val="20"/>
              </w:rPr>
            </w:pPr>
            <w:r w:rsidRPr="006D2651">
              <w:rPr>
                <w:rFonts w:ascii="Times New Roman" w:hAnsi="Times New Roman"/>
                <w:b/>
                <w:bCs/>
                <w:sz w:val="20"/>
                <w:szCs w:val="20"/>
              </w:rPr>
              <w:t>Additional details</w:t>
            </w:r>
          </w:p>
        </w:tc>
        <w:tc>
          <w:tcPr>
            <w:tcW w:w="1873" w:type="dxa"/>
            <w:vAlign w:val="center"/>
          </w:tcPr>
          <w:p w14:paraId="37809E14" w14:textId="77777777" w:rsidR="0099442F" w:rsidRPr="006D2651" w:rsidRDefault="0099442F" w:rsidP="00A10F1B">
            <w:pPr>
              <w:spacing w:after="0"/>
              <w:jc w:val="center"/>
              <w:rPr>
                <w:rFonts w:ascii="Times New Roman" w:hAnsi="Times New Roman"/>
                <w:b/>
                <w:bCs/>
                <w:sz w:val="20"/>
                <w:szCs w:val="20"/>
              </w:rPr>
            </w:pPr>
            <w:r w:rsidRPr="006D2651">
              <w:rPr>
                <w:rFonts w:ascii="Times New Roman" w:hAnsi="Times New Roman"/>
                <w:b/>
                <w:sz w:val="20"/>
                <w:szCs w:val="20"/>
              </w:rPr>
              <w:t>Amount (₹/</w:t>
            </w:r>
            <w:r w:rsidRPr="006D2651">
              <w:rPr>
                <w:rFonts w:ascii="Times New Roman" w:hAnsi="Times New Roman"/>
                <w:b/>
                <w:bCs/>
                <w:sz w:val="20"/>
                <w:szCs w:val="20"/>
              </w:rPr>
              <w:t>lakh</w:t>
            </w:r>
            <w:r w:rsidRPr="006D2651">
              <w:rPr>
                <w:rFonts w:ascii="Times New Roman" w:hAnsi="Times New Roman"/>
                <w:b/>
                <w:sz w:val="20"/>
                <w:szCs w:val="20"/>
              </w:rPr>
              <w:t>)</w:t>
            </w:r>
          </w:p>
        </w:tc>
      </w:tr>
      <w:tr w:rsidR="0099442F" w:rsidRPr="006D2651" w14:paraId="61BC5AB9" w14:textId="77777777" w:rsidTr="00A10F1B">
        <w:tc>
          <w:tcPr>
            <w:tcW w:w="763" w:type="dxa"/>
            <w:vAlign w:val="center"/>
          </w:tcPr>
          <w:p w14:paraId="350F5BF4"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A</w:t>
            </w:r>
          </w:p>
        </w:tc>
        <w:tc>
          <w:tcPr>
            <w:tcW w:w="3912" w:type="dxa"/>
            <w:vAlign w:val="center"/>
          </w:tcPr>
          <w:p w14:paraId="2947823F"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Variable Operating Cost</w:t>
            </w:r>
          </w:p>
        </w:tc>
        <w:tc>
          <w:tcPr>
            <w:tcW w:w="2802" w:type="dxa"/>
            <w:vAlign w:val="center"/>
          </w:tcPr>
          <w:p w14:paraId="375C863A" w14:textId="77777777" w:rsidR="0099442F" w:rsidRPr="006D2651" w:rsidRDefault="0099442F" w:rsidP="00A10F1B">
            <w:pPr>
              <w:spacing w:after="0"/>
              <w:rPr>
                <w:rFonts w:ascii="Times New Roman" w:hAnsi="Times New Roman"/>
                <w:sz w:val="20"/>
                <w:szCs w:val="20"/>
              </w:rPr>
            </w:pPr>
          </w:p>
        </w:tc>
        <w:tc>
          <w:tcPr>
            <w:tcW w:w="1873" w:type="dxa"/>
            <w:vAlign w:val="center"/>
          </w:tcPr>
          <w:p w14:paraId="739622A7" w14:textId="77777777" w:rsidR="0099442F" w:rsidRPr="006D2651" w:rsidRDefault="0099442F" w:rsidP="00A10F1B">
            <w:pPr>
              <w:spacing w:after="0"/>
              <w:jc w:val="center"/>
              <w:rPr>
                <w:rFonts w:ascii="Times New Roman" w:hAnsi="Times New Roman"/>
                <w:sz w:val="20"/>
                <w:szCs w:val="20"/>
              </w:rPr>
            </w:pPr>
          </w:p>
        </w:tc>
      </w:tr>
      <w:tr w:rsidR="0099442F" w:rsidRPr="006D2651" w14:paraId="7C59B05D" w14:textId="77777777" w:rsidTr="00A10F1B">
        <w:tc>
          <w:tcPr>
            <w:tcW w:w="763" w:type="dxa"/>
            <w:vAlign w:val="center"/>
          </w:tcPr>
          <w:p w14:paraId="11F1675E"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1.</w:t>
            </w:r>
          </w:p>
        </w:tc>
        <w:tc>
          <w:tcPr>
            <w:tcW w:w="3912" w:type="dxa"/>
            <w:vAlign w:val="center"/>
          </w:tcPr>
          <w:p w14:paraId="751733CC"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Power (for Prime Mover)</w:t>
            </w:r>
          </w:p>
        </w:tc>
        <w:tc>
          <w:tcPr>
            <w:tcW w:w="2802" w:type="dxa"/>
            <w:vAlign w:val="center"/>
          </w:tcPr>
          <w:p w14:paraId="162B1139" w14:textId="77777777" w:rsidR="0099442F" w:rsidRPr="006D2651" w:rsidRDefault="0099442F" w:rsidP="00A10F1B">
            <w:pPr>
              <w:spacing w:after="0"/>
              <w:rPr>
                <w:rFonts w:ascii="Times New Roman" w:hAnsi="Times New Roman"/>
                <w:sz w:val="20"/>
                <w:szCs w:val="20"/>
              </w:rPr>
            </w:pPr>
          </w:p>
        </w:tc>
        <w:tc>
          <w:tcPr>
            <w:tcW w:w="1873" w:type="dxa"/>
            <w:vAlign w:val="center"/>
          </w:tcPr>
          <w:p w14:paraId="0D4071C8" w14:textId="77777777" w:rsidR="0099442F" w:rsidRPr="006D2651" w:rsidRDefault="0099442F" w:rsidP="00A10F1B">
            <w:pPr>
              <w:spacing w:after="0"/>
              <w:jc w:val="center"/>
              <w:rPr>
                <w:rFonts w:ascii="Times New Roman" w:hAnsi="Times New Roman"/>
                <w:sz w:val="20"/>
                <w:szCs w:val="20"/>
              </w:rPr>
            </w:pPr>
          </w:p>
        </w:tc>
      </w:tr>
      <w:tr w:rsidR="0099442F" w:rsidRPr="006D2651" w14:paraId="440D0DA1" w14:textId="77777777" w:rsidTr="00A10F1B">
        <w:tc>
          <w:tcPr>
            <w:tcW w:w="763" w:type="dxa"/>
            <w:vAlign w:val="center"/>
          </w:tcPr>
          <w:p w14:paraId="17CFCE28"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2.</w:t>
            </w:r>
          </w:p>
        </w:tc>
        <w:tc>
          <w:tcPr>
            <w:tcW w:w="3912" w:type="dxa"/>
            <w:vAlign w:val="center"/>
          </w:tcPr>
          <w:p w14:paraId="1A249D70"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Chemical</w:t>
            </w:r>
          </w:p>
        </w:tc>
        <w:tc>
          <w:tcPr>
            <w:tcW w:w="2802" w:type="dxa"/>
            <w:vAlign w:val="center"/>
          </w:tcPr>
          <w:p w14:paraId="09B8A16A" w14:textId="77777777" w:rsidR="0099442F" w:rsidRPr="006D2651" w:rsidRDefault="0099442F" w:rsidP="00A10F1B">
            <w:pPr>
              <w:spacing w:after="0"/>
              <w:jc w:val="right"/>
              <w:rPr>
                <w:rFonts w:ascii="Times New Roman" w:hAnsi="Times New Roman"/>
                <w:sz w:val="20"/>
                <w:szCs w:val="20"/>
              </w:rPr>
            </w:pPr>
          </w:p>
        </w:tc>
        <w:tc>
          <w:tcPr>
            <w:tcW w:w="1873" w:type="dxa"/>
            <w:vAlign w:val="center"/>
          </w:tcPr>
          <w:p w14:paraId="0B151D2D" w14:textId="77777777" w:rsidR="0099442F" w:rsidRPr="006D2651" w:rsidRDefault="0099442F" w:rsidP="00A10F1B">
            <w:pPr>
              <w:spacing w:after="0"/>
              <w:jc w:val="center"/>
              <w:rPr>
                <w:rFonts w:ascii="Times New Roman" w:hAnsi="Times New Roman"/>
                <w:sz w:val="20"/>
                <w:szCs w:val="20"/>
              </w:rPr>
            </w:pPr>
          </w:p>
        </w:tc>
      </w:tr>
      <w:tr w:rsidR="0099442F" w:rsidRPr="006D2651" w14:paraId="7040B7DC" w14:textId="77777777" w:rsidTr="00A10F1B">
        <w:tc>
          <w:tcPr>
            <w:tcW w:w="763" w:type="dxa"/>
            <w:vAlign w:val="center"/>
          </w:tcPr>
          <w:p w14:paraId="43D0C1DD"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 xml:space="preserve">3. </w:t>
            </w:r>
          </w:p>
        </w:tc>
        <w:tc>
          <w:tcPr>
            <w:tcW w:w="3912" w:type="dxa"/>
            <w:vAlign w:val="center"/>
          </w:tcPr>
          <w:p w14:paraId="3AAA1619"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 xml:space="preserve">Others </w:t>
            </w:r>
          </w:p>
        </w:tc>
        <w:tc>
          <w:tcPr>
            <w:tcW w:w="2802" w:type="dxa"/>
            <w:vAlign w:val="center"/>
          </w:tcPr>
          <w:p w14:paraId="2A1E9C9E" w14:textId="77777777" w:rsidR="0099442F" w:rsidRPr="006D2651" w:rsidRDefault="0099442F" w:rsidP="00A10F1B">
            <w:pPr>
              <w:spacing w:after="0"/>
              <w:jc w:val="right"/>
              <w:rPr>
                <w:rFonts w:ascii="Times New Roman" w:hAnsi="Times New Roman"/>
                <w:b/>
                <w:sz w:val="20"/>
                <w:szCs w:val="20"/>
              </w:rPr>
            </w:pPr>
            <w:r w:rsidRPr="006D2651">
              <w:rPr>
                <w:rFonts w:ascii="Times New Roman" w:hAnsi="Times New Roman"/>
                <w:b/>
                <w:bCs/>
                <w:sz w:val="20"/>
                <w:szCs w:val="20"/>
              </w:rPr>
              <w:t>Sub Total</w:t>
            </w:r>
          </w:p>
        </w:tc>
        <w:tc>
          <w:tcPr>
            <w:tcW w:w="1873" w:type="dxa"/>
            <w:vAlign w:val="center"/>
          </w:tcPr>
          <w:p w14:paraId="736B2393" w14:textId="77777777" w:rsidR="0099442F" w:rsidRPr="006D2651" w:rsidRDefault="0099442F" w:rsidP="00A10F1B">
            <w:pPr>
              <w:spacing w:after="0"/>
              <w:jc w:val="center"/>
              <w:rPr>
                <w:rFonts w:ascii="Times New Roman" w:hAnsi="Times New Roman"/>
                <w:sz w:val="20"/>
                <w:szCs w:val="20"/>
              </w:rPr>
            </w:pPr>
          </w:p>
        </w:tc>
      </w:tr>
      <w:tr w:rsidR="0099442F" w:rsidRPr="006D2651" w14:paraId="41E04A62" w14:textId="77777777" w:rsidTr="00A10F1B">
        <w:tc>
          <w:tcPr>
            <w:tcW w:w="763" w:type="dxa"/>
            <w:vAlign w:val="center"/>
          </w:tcPr>
          <w:p w14:paraId="7DDA5DB1"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B</w:t>
            </w:r>
          </w:p>
        </w:tc>
        <w:tc>
          <w:tcPr>
            <w:tcW w:w="3912" w:type="dxa"/>
            <w:vAlign w:val="center"/>
          </w:tcPr>
          <w:p w14:paraId="3D49495C"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Fixed Operating Cost</w:t>
            </w:r>
          </w:p>
        </w:tc>
        <w:tc>
          <w:tcPr>
            <w:tcW w:w="2802" w:type="dxa"/>
            <w:vAlign w:val="center"/>
          </w:tcPr>
          <w:p w14:paraId="3F902437"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17CA2B00" w14:textId="77777777" w:rsidR="0099442F" w:rsidRPr="006D2651" w:rsidRDefault="0099442F" w:rsidP="00A10F1B">
            <w:pPr>
              <w:spacing w:after="0"/>
              <w:jc w:val="center"/>
              <w:rPr>
                <w:rFonts w:ascii="Times New Roman" w:hAnsi="Times New Roman"/>
                <w:sz w:val="20"/>
                <w:szCs w:val="20"/>
              </w:rPr>
            </w:pPr>
          </w:p>
        </w:tc>
      </w:tr>
      <w:tr w:rsidR="0099442F" w:rsidRPr="006D2651" w14:paraId="1461AE0F" w14:textId="77777777" w:rsidTr="00A10F1B">
        <w:tc>
          <w:tcPr>
            <w:tcW w:w="763" w:type="dxa"/>
            <w:vAlign w:val="center"/>
          </w:tcPr>
          <w:p w14:paraId="549271F5"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3.</w:t>
            </w:r>
          </w:p>
        </w:tc>
        <w:tc>
          <w:tcPr>
            <w:tcW w:w="3912" w:type="dxa"/>
            <w:vAlign w:val="center"/>
          </w:tcPr>
          <w:p w14:paraId="112AB479"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Manpower</w:t>
            </w:r>
          </w:p>
        </w:tc>
        <w:tc>
          <w:tcPr>
            <w:tcW w:w="2802" w:type="dxa"/>
            <w:vAlign w:val="center"/>
          </w:tcPr>
          <w:p w14:paraId="2E5A5216"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5A0BDE72" w14:textId="77777777" w:rsidR="0099442F" w:rsidRPr="006D2651" w:rsidRDefault="0099442F" w:rsidP="00A10F1B">
            <w:pPr>
              <w:spacing w:after="0"/>
              <w:jc w:val="center"/>
              <w:rPr>
                <w:rFonts w:ascii="Times New Roman" w:hAnsi="Times New Roman"/>
                <w:sz w:val="20"/>
                <w:szCs w:val="20"/>
              </w:rPr>
            </w:pPr>
          </w:p>
        </w:tc>
      </w:tr>
      <w:tr w:rsidR="0099442F" w:rsidRPr="006D2651" w14:paraId="7827D882" w14:textId="77777777" w:rsidTr="00A10F1B">
        <w:tc>
          <w:tcPr>
            <w:tcW w:w="763" w:type="dxa"/>
            <w:vAlign w:val="center"/>
          </w:tcPr>
          <w:p w14:paraId="025F257B"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4.</w:t>
            </w:r>
          </w:p>
        </w:tc>
        <w:tc>
          <w:tcPr>
            <w:tcW w:w="3912" w:type="dxa"/>
            <w:vAlign w:val="center"/>
          </w:tcPr>
          <w:p w14:paraId="172DA3B9"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General Administrative Expenses</w:t>
            </w:r>
          </w:p>
        </w:tc>
        <w:tc>
          <w:tcPr>
            <w:tcW w:w="2802" w:type="dxa"/>
            <w:vAlign w:val="center"/>
          </w:tcPr>
          <w:p w14:paraId="4CEEA0FD"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79A2DDE7" w14:textId="77777777" w:rsidR="0099442F" w:rsidRPr="006D2651" w:rsidRDefault="0099442F" w:rsidP="00A10F1B">
            <w:pPr>
              <w:spacing w:after="0"/>
              <w:jc w:val="center"/>
              <w:rPr>
                <w:rFonts w:ascii="Times New Roman" w:hAnsi="Times New Roman"/>
                <w:sz w:val="20"/>
                <w:szCs w:val="20"/>
              </w:rPr>
            </w:pPr>
          </w:p>
        </w:tc>
      </w:tr>
      <w:tr w:rsidR="0099442F" w:rsidRPr="006D2651" w14:paraId="3B810A27" w14:textId="77777777" w:rsidTr="00A10F1B">
        <w:tc>
          <w:tcPr>
            <w:tcW w:w="763" w:type="dxa"/>
            <w:vAlign w:val="center"/>
          </w:tcPr>
          <w:p w14:paraId="2BA9DB27"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5.</w:t>
            </w:r>
          </w:p>
        </w:tc>
        <w:tc>
          <w:tcPr>
            <w:tcW w:w="3912" w:type="dxa"/>
            <w:vAlign w:val="center"/>
          </w:tcPr>
          <w:p w14:paraId="2E493E9C" w14:textId="77777777" w:rsidR="0099442F" w:rsidRPr="006D2651" w:rsidRDefault="0099442F" w:rsidP="00A10F1B">
            <w:pPr>
              <w:spacing w:after="0"/>
              <w:rPr>
                <w:rFonts w:ascii="Times New Roman" w:hAnsi="Times New Roman"/>
                <w:sz w:val="20"/>
                <w:szCs w:val="20"/>
              </w:rPr>
            </w:pPr>
            <w:proofErr w:type="spellStart"/>
            <w:r w:rsidRPr="006D2651">
              <w:rPr>
                <w:rFonts w:ascii="Times New Roman" w:hAnsi="Times New Roman"/>
                <w:sz w:val="20"/>
                <w:szCs w:val="20"/>
              </w:rPr>
              <w:t>RoU</w:t>
            </w:r>
            <w:proofErr w:type="spellEnd"/>
            <w:r w:rsidRPr="006D2651">
              <w:rPr>
                <w:rFonts w:ascii="Times New Roman" w:hAnsi="Times New Roman"/>
                <w:sz w:val="20"/>
                <w:szCs w:val="20"/>
              </w:rPr>
              <w:t xml:space="preserve"> Surveillance</w:t>
            </w:r>
          </w:p>
        </w:tc>
        <w:tc>
          <w:tcPr>
            <w:tcW w:w="2802" w:type="dxa"/>
            <w:vAlign w:val="center"/>
          </w:tcPr>
          <w:p w14:paraId="4AF3BF89"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0407D4F2" w14:textId="77777777" w:rsidR="0099442F" w:rsidRPr="006D2651" w:rsidRDefault="0099442F" w:rsidP="00A10F1B">
            <w:pPr>
              <w:spacing w:after="0"/>
              <w:jc w:val="center"/>
              <w:rPr>
                <w:rFonts w:ascii="Times New Roman" w:hAnsi="Times New Roman"/>
                <w:sz w:val="20"/>
                <w:szCs w:val="20"/>
              </w:rPr>
            </w:pPr>
          </w:p>
        </w:tc>
      </w:tr>
      <w:tr w:rsidR="0099442F" w:rsidRPr="006D2651" w14:paraId="250B9D27" w14:textId="77777777" w:rsidTr="00A10F1B">
        <w:tc>
          <w:tcPr>
            <w:tcW w:w="763" w:type="dxa"/>
            <w:vAlign w:val="center"/>
          </w:tcPr>
          <w:p w14:paraId="606F4385"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6.</w:t>
            </w:r>
          </w:p>
        </w:tc>
        <w:tc>
          <w:tcPr>
            <w:tcW w:w="3912" w:type="dxa"/>
            <w:vAlign w:val="center"/>
          </w:tcPr>
          <w:p w14:paraId="277E3EDA"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 xml:space="preserve">Pipeline Transmission Loss (0.05% - </w:t>
            </w:r>
          </w:p>
        </w:tc>
        <w:tc>
          <w:tcPr>
            <w:tcW w:w="2802" w:type="dxa"/>
            <w:vAlign w:val="center"/>
          </w:tcPr>
          <w:p w14:paraId="313DFC80"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320C8308" w14:textId="77777777" w:rsidR="0099442F" w:rsidRPr="006D2651" w:rsidRDefault="0099442F" w:rsidP="00A10F1B">
            <w:pPr>
              <w:spacing w:after="0"/>
              <w:jc w:val="center"/>
              <w:rPr>
                <w:rFonts w:ascii="Times New Roman" w:hAnsi="Times New Roman"/>
                <w:sz w:val="20"/>
                <w:szCs w:val="20"/>
              </w:rPr>
            </w:pPr>
          </w:p>
        </w:tc>
      </w:tr>
      <w:tr w:rsidR="0099442F" w:rsidRPr="006D2651" w14:paraId="1D0DE811" w14:textId="77777777" w:rsidTr="00A10F1B">
        <w:tc>
          <w:tcPr>
            <w:tcW w:w="763" w:type="dxa"/>
            <w:vAlign w:val="center"/>
          </w:tcPr>
          <w:p w14:paraId="4998B370"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7</w:t>
            </w:r>
          </w:p>
        </w:tc>
        <w:tc>
          <w:tcPr>
            <w:tcW w:w="3912" w:type="dxa"/>
            <w:vAlign w:val="center"/>
          </w:tcPr>
          <w:p w14:paraId="0228BA77"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Repair and Maintenance</w:t>
            </w:r>
          </w:p>
        </w:tc>
        <w:tc>
          <w:tcPr>
            <w:tcW w:w="2802" w:type="dxa"/>
            <w:vAlign w:val="center"/>
          </w:tcPr>
          <w:p w14:paraId="6F86147C"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05CCCE2A" w14:textId="77777777" w:rsidR="0099442F" w:rsidRPr="006D2651" w:rsidRDefault="0099442F" w:rsidP="00A10F1B">
            <w:pPr>
              <w:spacing w:after="0"/>
              <w:jc w:val="center"/>
              <w:rPr>
                <w:rFonts w:ascii="Times New Roman" w:hAnsi="Times New Roman"/>
                <w:sz w:val="20"/>
                <w:szCs w:val="20"/>
              </w:rPr>
            </w:pPr>
          </w:p>
        </w:tc>
      </w:tr>
      <w:tr w:rsidR="0099442F" w:rsidRPr="006D2651" w14:paraId="363B64EA" w14:textId="77777777" w:rsidTr="00A10F1B">
        <w:tc>
          <w:tcPr>
            <w:tcW w:w="763" w:type="dxa"/>
            <w:vAlign w:val="center"/>
          </w:tcPr>
          <w:p w14:paraId="398CA09A"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7A</w:t>
            </w:r>
          </w:p>
        </w:tc>
        <w:tc>
          <w:tcPr>
            <w:tcW w:w="3912" w:type="dxa"/>
            <w:vAlign w:val="center"/>
          </w:tcPr>
          <w:p w14:paraId="62FA1846"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Mainline</w:t>
            </w:r>
          </w:p>
        </w:tc>
        <w:tc>
          <w:tcPr>
            <w:tcW w:w="2802" w:type="dxa"/>
            <w:vAlign w:val="center"/>
          </w:tcPr>
          <w:p w14:paraId="2F821796"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2CCFAD62" w14:textId="77777777" w:rsidR="0099442F" w:rsidRPr="006D2651" w:rsidRDefault="0099442F" w:rsidP="00A10F1B">
            <w:pPr>
              <w:spacing w:after="0"/>
              <w:jc w:val="center"/>
              <w:rPr>
                <w:rFonts w:ascii="Times New Roman" w:hAnsi="Times New Roman"/>
                <w:sz w:val="20"/>
                <w:szCs w:val="20"/>
              </w:rPr>
            </w:pPr>
          </w:p>
        </w:tc>
      </w:tr>
      <w:tr w:rsidR="0099442F" w:rsidRPr="006D2651" w14:paraId="1D9DB388" w14:textId="77777777" w:rsidTr="00A10F1B">
        <w:tc>
          <w:tcPr>
            <w:tcW w:w="763" w:type="dxa"/>
            <w:vAlign w:val="center"/>
          </w:tcPr>
          <w:p w14:paraId="1F9B3675"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7B</w:t>
            </w:r>
          </w:p>
        </w:tc>
        <w:tc>
          <w:tcPr>
            <w:tcW w:w="3912" w:type="dxa"/>
            <w:vAlign w:val="center"/>
          </w:tcPr>
          <w:p w14:paraId="2084EAFE"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Pump Station and others</w:t>
            </w:r>
          </w:p>
        </w:tc>
        <w:tc>
          <w:tcPr>
            <w:tcW w:w="2802" w:type="dxa"/>
            <w:vAlign w:val="center"/>
          </w:tcPr>
          <w:p w14:paraId="2637C680"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44C6E721" w14:textId="77777777" w:rsidR="0099442F" w:rsidRPr="006D2651" w:rsidRDefault="0099442F" w:rsidP="00A10F1B">
            <w:pPr>
              <w:spacing w:after="0"/>
              <w:jc w:val="center"/>
              <w:rPr>
                <w:rFonts w:ascii="Times New Roman" w:hAnsi="Times New Roman"/>
                <w:sz w:val="20"/>
                <w:szCs w:val="20"/>
              </w:rPr>
            </w:pPr>
          </w:p>
        </w:tc>
      </w:tr>
      <w:tr w:rsidR="0099442F" w:rsidRPr="006D2651" w14:paraId="41266763" w14:textId="77777777" w:rsidTr="00A10F1B">
        <w:tc>
          <w:tcPr>
            <w:tcW w:w="763" w:type="dxa"/>
            <w:vAlign w:val="center"/>
          </w:tcPr>
          <w:p w14:paraId="45FD3A61" w14:textId="77777777" w:rsidR="0099442F" w:rsidRPr="006D2651" w:rsidRDefault="0099442F" w:rsidP="00A10F1B">
            <w:pPr>
              <w:spacing w:after="0"/>
              <w:jc w:val="center"/>
              <w:rPr>
                <w:rFonts w:ascii="Times New Roman" w:hAnsi="Times New Roman"/>
                <w:sz w:val="20"/>
                <w:szCs w:val="20"/>
              </w:rPr>
            </w:pPr>
            <w:r w:rsidRPr="006D2651">
              <w:rPr>
                <w:rFonts w:ascii="Times New Roman" w:hAnsi="Times New Roman"/>
                <w:sz w:val="20"/>
                <w:szCs w:val="20"/>
              </w:rPr>
              <w:t>8</w:t>
            </w:r>
          </w:p>
        </w:tc>
        <w:tc>
          <w:tcPr>
            <w:tcW w:w="3912" w:type="dxa"/>
            <w:vAlign w:val="center"/>
          </w:tcPr>
          <w:p w14:paraId="1EB56A24" w14:textId="77777777" w:rsidR="0099442F" w:rsidRPr="006D2651" w:rsidRDefault="0099442F" w:rsidP="00A10F1B">
            <w:pPr>
              <w:spacing w:after="0"/>
              <w:rPr>
                <w:rFonts w:ascii="Times New Roman" w:hAnsi="Times New Roman"/>
                <w:sz w:val="20"/>
                <w:szCs w:val="20"/>
              </w:rPr>
            </w:pPr>
            <w:r w:rsidRPr="006D2651">
              <w:rPr>
                <w:rFonts w:ascii="Times New Roman" w:hAnsi="Times New Roman"/>
                <w:sz w:val="20"/>
                <w:szCs w:val="20"/>
              </w:rPr>
              <w:t>Others</w:t>
            </w:r>
          </w:p>
        </w:tc>
        <w:tc>
          <w:tcPr>
            <w:tcW w:w="2802" w:type="dxa"/>
            <w:vAlign w:val="center"/>
          </w:tcPr>
          <w:p w14:paraId="30B5A4D2" w14:textId="77777777" w:rsidR="0099442F" w:rsidRPr="006D2651" w:rsidRDefault="0099442F" w:rsidP="00A10F1B">
            <w:pPr>
              <w:spacing w:after="0"/>
              <w:jc w:val="right"/>
              <w:rPr>
                <w:rFonts w:ascii="Times New Roman" w:hAnsi="Times New Roman"/>
                <w:b/>
                <w:bCs/>
                <w:sz w:val="20"/>
                <w:szCs w:val="20"/>
              </w:rPr>
            </w:pPr>
          </w:p>
        </w:tc>
        <w:tc>
          <w:tcPr>
            <w:tcW w:w="1873" w:type="dxa"/>
            <w:vAlign w:val="center"/>
          </w:tcPr>
          <w:p w14:paraId="4380D98A" w14:textId="77777777" w:rsidR="0099442F" w:rsidRPr="006D2651" w:rsidRDefault="0099442F" w:rsidP="00A10F1B">
            <w:pPr>
              <w:spacing w:after="0"/>
              <w:jc w:val="center"/>
              <w:rPr>
                <w:rFonts w:ascii="Times New Roman" w:hAnsi="Times New Roman"/>
                <w:sz w:val="20"/>
                <w:szCs w:val="20"/>
              </w:rPr>
            </w:pPr>
          </w:p>
        </w:tc>
      </w:tr>
      <w:tr w:rsidR="0099442F" w:rsidRPr="006D2651" w14:paraId="13EB3786" w14:textId="77777777" w:rsidTr="00A10F1B">
        <w:tc>
          <w:tcPr>
            <w:tcW w:w="763" w:type="dxa"/>
            <w:vAlign w:val="center"/>
          </w:tcPr>
          <w:p w14:paraId="79591C26" w14:textId="77777777" w:rsidR="0099442F" w:rsidRPr="006D2651" w:rsidRDefault="0099442F" w:rsidP="00A10F1B">
            <w:pPr>
              <w:spacing w:after="0"/>
              <w:jc w:val="center"/>
              <w:rPr>
                <w:rFonts w:ascii="Times New Roman" w:hAnsi="Times New Roman"/>
                <w:sz w:val="20"/>
                <w:szCs w:val="20"/>
              </w:rPr>
            </w:pPr>
          </w:p>
        </w:tc>
        <w:tc>
          <w:tcPr>
            <w:tcW w:w="3912" w:type="dxa"/>
            <w:vAlign w:val="center"/>
          </w:tcPr>
          <w:p w14:paraId="6A99E02D" w14:textId="77777777" w:rsidR="0099442F" w:rsidRPr="006D2651" w:rsidRDefault="0099442F" w:rsidP="00A10F1B">
            <w:pPr>
              <w:spacing w:after="0"/>
              <w:jc w:val="center"/>
              <w:rPr>
                <w:rFonts w:ascii="Times New Roman" w:hAnsi="Times New Roman"/>
                <w:sz w:val="20"/>
                <w:szCs w:val="20"/>
              </w:rPr>
            </w:pPr>
          </w:p>
        </w:tc>
        <w:tc>
          <w:tcPr>
            <w:tcW w:w="2802" w:type="dxa"/>
            <w:vAlign w:val="center"/>
          </w:tcPr>
          <w:p w14:paraId="2C3A20A6" w14:textId="77777777" w:rsidR="0099442F" w:rsidRPr="006D2651" w:rsidRDefault="0099442F" w:rsidP="00A10F1B">
            <w:pPr>
              <w:spacing w:after="0"/>
              <w:jc w:val="right"/>
              <w:rPr>
                <w:rFonts w:ascii="Times New Roman" w:hAnsi="Times New Roman"/>
                <w:sz w:val="20"/>
                <w:szCs w:val="20"/>
              </w:rPr>
            </w:pPr>
            <w:r w:rsidRPr="006D2651">
              <w:rPr>
                <w:rFonts w:ascii="Times New Roman" w:hAnsi="Times New Roman"/>
                <w:b/>
                <w:bCs/>
                <w:sz w:val="20"/>
                <w:szCs w:val="20"/>
              </w:rPr>
              <w:t>Sub Total</w:t>
            </w:r>
          </w:p>
        </w:tc>
        <w:tc>
          <w:tcPr>
            <w:tcW w:w="1873" w:type="dxa"/>
            <w:vAlign w:val="center"/>
          </w:tcPr>
          <w:p w14:paraId="4D035546" w14:textId="77777777" w:rsidR="0099442F" w:rsidRPr="006D2651" w:rsidRDefault="0099442F" w:rsidP="00A10F1B">
            <w:pPr>
              <w:spacing w:after="0"/>
              <w:jc w:val="center"/>
              <w:rPr>
                <w:rFonts w:ascii="Times New Roman" w:hAnsi="Times New Roman"/>
                <w:sz w:val="20"/>
                <w:szCs w:val="20"/>
              </w:rPr>
            </w:pPr>
          </w:p>
        </w:tc>
      </w:tr>
      <w:tr w:rsidR="0099442F" w:rsidRPr="006D2651" w14:paraId="7B591BE4" w14:textId="77777777" w:rsidTr="00A10F1B">
        <w:tc>
          <w:tcPr>
            <w:tcW w:w="763" w:type="dxa"/>
            <w:vAlign w:val="center"/>
          </w:tcPr>
          <w:p w14:paraId="41BDC208" w14:textId="77777777" w:rsidR="0099442F" w:rsidRPr="006D2651" w:rsidRDefault="0099442F" w:rsidP="00A10F1B">
            <w:pPr>
              <w:spacing w:after="0"/>
              <w:jc w:val="center"/>
              <w:rPr>
                <w:rFonts w:ascii="Times New Roman" w:hAnsi="Times New Roman"/>
                <w:sz w:val="20"/>
                <w:szCs w:val="20"/>
              </w:rPr>
            </w:pPr>
          </w:p>
        </w:tc>
        <w:tc>
          <w:tcPr>
            <w:tcW w:w="3912" w:type="dxa"/>
            <w:vAlign w:val="center"/>
          </w:tcPr>
          <w:p w14:paraId="27C98925" w14:textId="77777777" w:rsidR="0099442F" w:rsidRPr="006D2651" w:rsidRDefault="0099442F" w:rsidP="00A10F1B">
            <w:pPr>
              <w:spacing w:after="0"/>
              <w:rPr>
                <w:rFonts w:ascii="Times New Roman" w:hAnsi="Times New Roman"/>
                <w:sz w:val="20"/>
                <w:szCs w:val="20"/>
              </w:rPr>
            </w:pPr>
          </w:p>
        </w:tc>
        <w:tc>
          <w:tcPr>
            <w:tcW w:w="2802" w:type="dxa"/>
            <w:vAlign w:val="center"/>
          </w:tcPr>
          <w:p w14:paraId="799F1AEB" w14:textId="77777777" w:rsidR="0099442F" w:rsidRPr="006D2651" w:rsidRDefault="0099442F" w:rsidP="00A10F1B">
            <w:pPr>
              <w:spacing w:after="0"/>
              <w:rPr>
                <w:rFonts w:ascii="Times New Roman" w:hAnsi="Times New Roman"/>
                <w:b/>
                <w:bCs/>
                <w:sz w:val="20"/>
                <w:szCs w:val="20"/>
              </w:rPr>
            </w:pPr>
            <w:r w:rsidRPr="006D2651">
              <w:rPr>
                <w:rFonts w:ascii="Times New Roman" w:hAnsi="Times New Roman"/>
                <w:b/>
                <w:bCs/>
                <w:sz w:val="20"/>
                <w:szCs w:val="20"/>
              </w:rPr>
              <w:t>Total Annual Operating Cost</w:t>
            </w:r>
          </w:p>
        </w:tc>
        <w:tc>
          <w:tcPr>
            <w:tcW w:w="1873" w:type="dxa"/>
            <w:vAlign w:val="center"/>
          </w:tcPr>
          <w:p w14:paraId="67D89856" w14:textId="77777777" w:rsidR="0099442F" w:rsidRPr="006D2651" w:rsidRDefault="0099442F" w:rsidP="00A10F1B">
            <w:pPr>
              <w:spacing w:after="0"/>
              <w:jc w:val="center"/>
              <w:rPr>
                <w:rFonts w:ascii="Times New Roman" w:hAnsi="Times New Roman"/>
                <w:sz w:val="20"/>
                <w:szCs w:val="20"/>
              </w:rPr>
            </w:pPr>
          </w:p>
        </w:tc>
      </w:tr>
    </w:tbl>
    <w:p w14:paraId="746E3848" w14:textId="37DA718C" w:rsidR="00C34994" w:rsidRPr="00C34994" w:rsidRDefault="00C34994" w:rsidP="0099442F">
      <w:pPr>
        <w:jc w:val="center"/>
        <w:rPr>
          <w:rFonts w:ascii="Times New Roman" w:hAnsi="Times New Roman"/>
          <w:b/>
          <w:bCs/>
          <w:sz w:val="10"/>
          <w:szCs w:val="10"/>
        </w:rPr>
      </w:pPr>
    </w:p>
    <w:p w14:paraId="1C8BE034" w14:textId="77777777" w:rsidR="0099442F" w:rsidRPr="006D2651" w:rsidRDefault="0099442F" w:rsidP="0099442F">
      <w:pPr>
        <w:jc w:val="center"/>
        <w:rPr>
          <w:rFonts w:ascii="Times New Roman" w:hAnsi="Times New Roman"/>
          <w:b/>
          <w:bCs/>
          <w:sz w:val="20"/>
          <w:szCs w:val="20"/>
        </w:rPr>
      </w:pPr>
      <w:r w:rsidRPr="006D2651">
        <w:rPr>
          <w:rFonts w:ascii="Times New Roman" w:hAnsi="Times New Roman"/>
          <w:b/>
          <w:bCs/>
          <w:sz w:val="20"/>
          <w:szCs w:val="20"/>
        </w:rPr>
        <w:t>Attachment 1 (h)</w:t>
      </w:r>
    </w:p>
    <w:p w14:paraId="3D24EF3A" w14:textId="77777777" w:rsidR="0099442F" w:rsidRPr="006D2651" w:rsidRDefault="0099442F" w:rsidP="0099442F">
      <w:pPr>
        <w:pStyle w:val="NormalWeb"/>
        <w:spacing w:before="0" w:beforeAutospacing="0" w:after="0" w:afterAutospacing="0" w:line="276" w:lineRule="auto"/>
        <w:jc w:val="center"/>
        <w:rPr>
          <w:rStyle w:val="Strong"/>
          <w:sz w:val="20"/>
          <w:szCs w:val="20"/>
        </w:rPr>
      </w:pPr>
      <w:r w:rsidRPr="006D2651">
        <w:rPr>
          <w:rStyle w:val="Strong"/>
          <w:sz w:val="20"/>
          <w:szCs w:val="20"/>
        </w:rPr>
        <w:t>Cashflow Statement</w:t>
      </w:r>
    </w:p>
    <w:p w14:paraId="4CFA50B9" w14:textId="77777777" w:rsidR="0099442F" w:rsidRPr="00C90AAE" w:rsidRDefault="0099442F" w:rsidP="0099442F">
      <w:pPr>
        <w:kinsoku w:val="0"/>
        <w:overflowPunct w:val="0"/>
        <w:autoSpaceDE w:val="0"/>
        <w:autoSpaceDN w:val="0"/>
        <w:adjustRightInd w:val="0"/>
        <w:spacing w:after="3"/>
        <w:ind w:right="1665"/>
        <w:jc w:val="right"/>
        <w:rPr>
          <w:rFonts w:ascii="Times New Roman" w:hAnsi="Times New Roman"/>
          <w:b/>
          <w:sz w:val="2"/>
          <w:szCs w:val="2"/>
        </w:rPr>
      </w:pPr>
    </w:p>
    <w:p w14:paraId="39F79C14" w14:textId="77777777" w:rsidR="0099442F" w:rsidRPr="006D2651" w:rsidRDefault="0099442F" w:rsidP="0099442F">
      <w:pPr>
        <w:kinsoku w:val="0"/>
        <w:overflowPunct w:val="0"/>
        <w:autoSpaceDE w:val="0"/>
        <w:autoSpaceDN w:val="0"/>
        <w:adjustRightInd w:val="0"/>
        <w:spacing w:after="3"/>
        <w:ind w:right="1665"/>
        <w:rPr>
          <w:rFonts w:ascii="Times New Roman" w:eastAsiaTheme="minorHAnsi" w:hAnsi="Times New Roman"/>
          <w:b/>
          <w:bCs/>
          <w:sz w:val="20"/>
          <w:szCs w:val="20"/>
        </w:rPr>
      </w:pPr>
      <w:r w:rsidRPr="006D2651">
        <w:rPr>
          <w:rFonts w:ascii="Times New Roman" w:hAnsi="Times New Roman"/>
          <w:b/>
          <w:sz w:val="20"/>
          <w:szCs w:val="20"/>
        </w:rPr>
        <w:t xml:space="preserve">                                                                                                  Amount (₹/</w:t>
      </w:r>
      <w:r w:rsidRPr="006D2651">
        <w:rPr>
          <w:rFonts w:ascii="Times New Roman" w:hAnsi="Times New Roman"/>
          <w:b/>
          <w:bCs/>
          <w:sz w:val="20"/>
          <w:szCs w:val="20"/>
        </w:rPr>
        <w:t>lakh</w:t>
      </w:r>
      <w:r w:rsidRPr="006D2651">
        <w:rPr>
          <w:rFonts w:ascii="Times New Roman" w:hAnsi="Times New Roman"/>
          <w:b/>
          <w:sz w:val="20"/>
          <w:szCs w:val="20"/>
        </w:rPr>
        <w:t>)</w:t>
      </w:r>
    </w:p>
    <w:tbl>
      <w:tblPr>
        <w:tblW w:w="9925" w:type="dxa"/>
        <w:tblInd w:w="114" w:type="dxa"/>
        <w:tblLayout w:type="fixed"/>
        <w:tblCellMar>
          <w:left w:w="0" w:type="dxa"/>
          <w:right w:w="0" w:type="dxa"/>
        </w:tblCellMar>
        <w:tblLook w:val="0000" w:firstRow="0" w:lastRow="0" w:firstColumn="0" w:lastColumn="0" w:noHBand="0" w:noVBand="0"/>
      </w:tblPr>
      <w:tblGrid>
        <w:gridCol w:w="994"/>
        <w:gridCol w:w="2146"/>
        <w:gridCol w:w="920"/>
        <w:gridCol w:w="932"/>
        <w:gridCol w:w="934"/>
        <w:gridCol w:w="933"/>
        <w:gridCol w:w="935"/>
        <w:gridCol w:w="931"/>
        <w:gridCol w:w="221"/>
        <w:gridCol w:w="979"/>
      </w:tblGrid>
      <w:tr w:rsidR="0099442F" w:rsidRPr="006D2651" w14:paraId="745F48AF" w14:textId="77777777" w:rsidTr="00A10F1B">
        <w:trPr>
          <w:trHeight w:val="320"/>
        </w:trPr>
        <w:tc>
          <w:tcPr>
            <w:tcW w:w="994" w:type="dxa"/>
            <w:tcBorders>
              <w:top w:val="single" w:sz="4" w:space="0" w:color="000000"/>
              <w:left w:val="single" w:sz="4" w:space="0" w:color="000000"/>
              <w:bottom w:val="single" w:sz="4" w:space="0" w:color="000000"/>
              <w:right w:val="single" w:sz="4" w:space="0" w:color="000000"/>
            </w:tcBorders>
          </w:tcPr>
          <w:p w14:paraId="6B2B810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7F02F57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tcPr>
          <w:p w14:paraId="2F8FA7FB" w14:textId="77777777" w:rsidR="0099442F" w:rsidRPr="006D2651" w:rsidRDefault="0099442F" w:rsidP="00A10F1B">
            <w:pPr>
              <w:kinsoku w:val="0"/>
              <w:overflowPunct w:val="0"/>
              <w:autoSpaceDE w:val="0"/>
              <w:autoSpaceDN w:val="0"/>
              <w:adjustRightInd w:val="0"/>
              <w:spacing w:before="3" w:after="0"/>
              <w:ind w:left="416"/>
              <w:rPr>
                <w:rFonts w:ascii="Times New Roman" w:eastAsiaTheme="minorHAnsi" w:hAnsi="Times New Roman"/>
                <w:b/>
                <w:bCs/>
                <w:sz w:val="20"/>
                <w:szCs w:val="20"/>
              </w:rPr>
            </w:pPr>
            <w:r w:rsidRPr="006D2651">
              <w:rPr>
                <w:rFonts w:ascii="Times New Roman" w:eastAsiaTheme="minorHAnsi" w:hAnsi="Times New Roman"/>
                <w:b/>
                <w:bCs/>
                <w:sz w:val="20"/>
                <w:szCs w:val="20"/>
              </w:rPr>
              <w:t>Construction period</w:t>
            </w:r>
          </w:p>
        </w:tc>
        <w:tc>
          <w:tcPr>
            <w:tcW w:w="3999" w:type="dxa"/>
            <w:gridSpan w:val="5"/>
            <w:tcBorders>
              <w:top w:val="single" w:sz="4" w:space="0" w:color="000000"/>
              <w:left w:val="single" w:sz="4" w:space="0" w:color="000000"/>
              <w:bottom w:val="single" w:sz="4" w:space="0" w:color="000000"/>
              <w:right w:val="single" w:sz="4" w:space="0" w:color="000000"/>
            </w:tcBorders>
          </w:tcPr>
          <w:p w14:paraId="352C0241" w14:textId="77777777" w:rsidR="0099442F" w:rsidRPr="006D2651" w:rsidRDefault="0099442F" w:rsidP="00A10F1B">
            <w:pPr>
              <w:kinsoku w:val="0"/>
              <w:overflowPunct w:val="0"/>
              <w:autoSpaceDE w:val="0"/>
              <w:autoSpaceDN w:val="0"/>
              <w:adjustRightInd w:val="0"/>
              <w:spacing w:before="3" w:after="0"/>
              <w:ind w:left="1295"/>
              <w:rPr>
                <w:rFonts w:ascii="Times New Roman" w:eastAsiaTheme="minorHAnsi" w:hAnsi="Times New Roman"/>
                <w:b/>
                <w:bCs/>
                <w:sz w:val="20"/>
                <w:szCs w:val="20"/>
              </w:rPr>
            </w:pPr>
            <w:r w:rsidRPr="006D2651">
              <w:rPr>
                <w:rFonts w:ascii="Times New Roman" w:eastAsiaTheme="minorHAnsi" w:hAnsi="Times New Roman"/>
                <w:b/>
                <w:bCs/>
                <w:sz w:val="20"/>
                <w:szCs w:val="20"/>
              </w:rPr>
              <w:t>Economic Life</w:t>
            </w:r>
          </w:p>
        </w:tc>
      </w:tr>
      <w:tr w:rsidR="0099442F" w:rsidRPr="006D2651" w14:paraId="3AE753E8" w14:textId="77777777" w:rsidTr="00A10F1B">
        <w:trPr>
          <w:trHeight w:val="517"/>
        </w:trPr>
        <w:tc>
          <w:tcPr>
            <w:tcW w:w="994" w:type="dxa"/>
            <w:tcBorders>
              <w:top w:val="single" w:sz="4" w:space="0" w:color="000000"/>
              <w:left w:val="single" w:sz="4" w:space="0" w:color="000000"/>
              <w:bottom w:val="single" w:sz="4" w:space="0" w:color="000000"/>
              <w:right w:val="single" w:sz="4" w:space="0" w:color="000000"/>
            </w:tcBorders>
          </w:tcPr>
          <w:p w14:paraId="06744FF3" w14:textId="77777777" w:rsidR="0099442F" w:rsidRPr="006D2651" w:rsidRDefault="0099442F" w:rsidP="00A10F1B">
            <w:pPr>
              <w:kinsoku w:val="0"/>
              <w:overflowPunct w:val="0"/>
              <w:autoSpaceDE w:val="0"/>
              <w:autoSpaceDN w:val="0"/>
              <w:adjustRightInd w:val="0"/>
              <w:spacing w:before="131" w:after="0"/>
              <w:ind w:left="147" w:right="142"/>
              <w:jc w:val="center"/>
              <w:rPr>
                <w:rFonts w:ascii="Times New Roman" w:eastAsiaTheme="minorHAnsi" w:hAnsi="Times New Roman"/>
                <w:b/>
                <w:bCs/>
                <w:sz w:val="20"/>
                <w:szCs w:val="20"/>
              </w:rPr>
            </w:pPr>
            <w:r w:rsidRPr="006D2651">
              <w:rPr>
                <w:rFonts w:ascii="Times New Roman" w:eastAsiaTheme="minorHAnsi" w:hAnsi="Times New Roman"/>
                <w:b/>
                <w:bCs/>
                <w:sz w:val="20"/>
                <w:szCs w:val="20"/>
              </w:rPr>
              <w:t>Sr. No.</w:t>
            </w:r>
          </w:p>
        </w:tc>
        <w:tc>
          <w:tcPr>
            <w:tcW w:w="2146" w:type="dxa"/>
            <w:tcBorders>
              <w:top w:val="single" w:sz="4" w:space="0" w:color="000000"/>
              <w:left w:val="single" w:sz="4" w:space="0" w:color="000000"/>
              <w:bottom w:val="single" w:sz="4" w:space="0" w:color="000000"/>
              <w:right w:val="single" w:sz="4" w:space="0" w:color="000000"/>
            </w:tcBorders>
          </w:tcPr>
          <w:p w14:paraId="372BBFD2" w14:textId="77777777" w:rsidR="0099442F" w:rsidRPr="006D2651" w:rsidRDefault="0099442F" w:rsidP="00A10F1B">
            <w:pPr>
              <w:kinsoku w:val="0"/>
              <w:overflowPunct w:val="0"/>
              <w:autoSpaceDE w:val="0"/>
              <w:autoSpaceDN w:val="0"/>
              <w:adjustRightInd w:val="0"/>
              <w:spacing w:before="131" w:after="0"/>
              <w:ind w:left="817" w:right="813"/>
              <w:jc w:val="center"/>
              <w:rPr>
                <w:rFonts w:ascii="Times New Roman" w:eastAsiaTheme="minorHAnsi" w:hAnsi="Times New Roman"/>
                <w:b/>
                <w:bCs/>
                <w:sz w:val="20"/>
                <w:szCs w:val="20"/>
              </w:rPr>
            </w:pPr>
            <w:r w:rsidRPr="006D2651">
              <w:rPr>
                <w:rFonts w:ascii="Times New Roman" w:eastAsiaTheme="minorHAnsi" w:hAnsi="Times New Roman"/>
                <w:b/>
                <w:bCs/>
                <w:sz w:val="20"/>
                <w:szCs w:val="20"/>
              </w:rPr>
              <w:t>Year</w:t>
            </w:r>
          </w:p>
        </w:tc>
        <w:tc>
          <w:tcPr>
            <w:tcW w:w="920" w:type="dxa"/>
            <w:tcBorders>
              <w:top w:val="single" w:sz="4" w:space="0" w:color="000000"/>
              <w:left w:val="single" w:sz="4" w:space="0" w:color="000000"/>
              <w:bottom w:val="single" w:sz="4" w:space="0" w:color="000000"/>
              <w:right w:val="single" w:sz="4" w:space="0" w:color="000000"/>
            </w:tcBorders>
          </w:tcPr>
          <w:p w14:paraId="246AAB04" w14:textId="77777777" w:rsidR="0099442F" w:rsidRPr="006D2651" w:rsidRDefault="0099442F" w:rsidP="00A10F1B">
            <w:pPr>
              <w:kinsoku w:val="0"/>
              <w:overflowPunct w:val="0"/>
              <w:autoSpaceDE w:val="0"/>
              <w:autoSpaceDN w:val="0"/>
              <w:adjustRightInd w:val="0"/>
              <w:spacing w:after="0"/>
              <w:ind w:left="116"/>
              <w:rPr>
                <w:rFonts w:ascii="Times New Roman" w:eastAsiaTheme="minorHAnsi" w:hAnsi="Times New Roman"/>
                <w:sz w:val="20"/>
                <w:szCs w:val="20"/>
              </w:rPr>
            </w:pPr>
            <w:r w:rsidRPr="006D2651">
              <w:rPr>
                <w:rFonts w:ascii="Times New Roman" w:eastAsiaTheme="minorHAnsi" w:hAnsi="Times New Roman"/>
                <w:sz w:val="20"/>
                <w:szCs w:val="20"/>
              </w:rPr>
              <w:t>Year- 3</w:t>
            </w:r>
          </w:p>
        </w:tc>
        <w:tc>
          <w:tcPr>
            <w:tcW w:w="932" w:type="dxa"/>
            <w:tcBorders>
              <w:top w:val="single" w:sz="4" w:space="0" w:color="000000"/>
              <w:left w:val="single" w:sz="4" w:space="0" w:color="000000"/>
              <w:bottom w:val="single" w:sz="4" w:space="0" w:color="000000"/>
              <w:right w:val="single" w:sz="4" w:space="0" w:color="000000"/>
            </w:tcBorders>
          </w:tcPr>
          <w:p w14:paraId="2B2F761F" w14:textId="77777777" w:rsidR="0099442F" w:rsidRPr="006D2651" w:rsidRDefault="0099442F" w:rsidP="00A10F1B">
            <w:pPr>
              <w:kinsoku w:val="0"/>
              <w:overflowPunct w:val="0"/>
              <w:autoSpaceDE w:val="0"/>
              <w:autoSpaceDN w:val="0"/>
              <w:adjustRightInd w:val="0"/>
              <w:spacing w:after="0"/>
              <w:ind w:left="123"/>
              <w:rPr>
                <w:rFonts w:ascii="Times New Roman" w:eastAsiaTheme="minorHAnsi" w:hAnsi="Times New Roman"/>
                <w:sz w:val="20"/>
                <w:szCs w:val="20"/>
              </w:rPr>
            </w:pPr>
            <w:r w:rsidRPr="006D2651">
              <w:rPr>
                <w:rFonts w:ascii="Times New Roman" w:eastAsiaTheme="minorHAnsi" w:hAnsi="Times New Roman"/>
                <w:sz w:val="20"/>
                <w:szCs w:val="20"/>
              </w:rPr>
              <w:t>Year- 2</w:t>
            </w:r>
          </w:p>
        </w:tc>
        <w:tc>
          <w:tcPr>
            <w:tcW w:w="934" w:type="dxa"/>
            <w:tcBorders>
              <w:top w:val="single" w:sz="4" w:space="0" w:color="000000"/>
              <w:left w:val="single" w:sz="4" w:space="0" w:color="000000"/>
              <w:bottom w:val="single" w:sz="4" w:space="0" w:color="000000"/>
              <w:right w:val="single" w:sz="4" w:space="0" w:color="000000"/>
            </w:tcBorders>
          </w:tcPr>
          <w:p w14:paraId="56D3498B" w14:textId="77777777" w:rsidR="0099442F" w:rsidRPr="006D2651" w:rsidRDefault="0099442F" w:rsidP="00A10F1B">
            <w:pPr>
              <w:kinsoku w:val="0"/>
              <w:overflowPunct w:val="0"/>
              <w:autoSpaceDE w:val="0"/>
              <w:autoSpaceDN w:val="0"/>
              <w:adjustRightInd w:val="0"/>
              <w:spacing w:after="0"/>
              <w:ind w:left="121"/>
              <w:rPr>
                <w:rFonts w:ascii="Times New Roman" w:eastAsiaTheme="minorHAnsi" w:hAnsi="Times New Roman"/>
                <w:sz w:val="20"/>
                <w:szCs w:val="20"/>
              </w:rPr>
            </w:pPr>
            <w:r w:rsidRPr="006D2651">
              <w:rPr>
                <w:rFonts w:ascii="Times New Roman" w:eastAsiaTheme="minorHAnsi" w:hAnsi="Times New Roman"/>
                <w:sz w:val="20"/>
                <w:szCs w:val="20"/>
              </w:rPr>
              <w:t>Year- 1</w:t>
            </w:r>
          </w:p>
        </w:tc>
        <w:tc>
          <w:tcPr>
            <w:tcW w:w="933" w:type="dxa"/>
            <w:tcBorders>
              <w:top w:val="single" w:sz="4" w:space="0" w:color="000000"/>
              <w:left w:val="single" w:sz="4" w:space="0" w:color="000000"/>
              <w:bottom w:val="single" w:sz="4" w:space="0" w:color="000000"/>
              <w:right w:val="single" w:sz="4" w:space="0" w:color="000000"/>
            </w:tcBorders>
          </w:tcPr>
          <w:p w14:paraId="02B941E0" w14:textId="77777777" w:rsidR="0099442F" w:rsidRPr="006D2651" w:rsidRDefault="0099442F" w:rsidP="00A10F1B">
            <w:pPr>
              <w:kinsoku w:val="0"/>
              <w:overflowPunct w:val="0"/>
              <w:autoSpaceDE w:val="0"/>
              <w:autoSpaceDN w:val="0"/>
              <w:adjustRightInd w:val="0"/>
              <w:spacing w:after="0"/>
              <w:ind w:left="119"/>
              <w:rPr>
                <w:rFonts w:ascii="Times New Roman" w:eastAsiaTheme="minorHAnsi" w:hAnsi="Times New Roman"/>
                <w:sz w:val="20"/>
                <w:szCs w:val="20"/>
              </w:rPr>
            </w:pPr>
            <w:r w:rsidRPr="006D2651">
              <w:rPr>
                <w:rFonts w:ascii="Times New Roman" w:eastAsiaTheme="minorHAnsi" w:hAnsi="Times New Roman"/>
                <w:sz w:val="20"/>
                <w:szCs w:val="20"/>
              </w:rPr>
              <w:t>Year- 1</w:t>
            </w:r>
          </w:p>
        </w:tc>
        <w:tc>
          <w:tcPr>
            <w:tcW w:w="935" w:type="dxa"/>
            <w:tcBorders>
              <w:top w:val="single" w:sz="4" w:space="0" w:color="000000"/>
              <w:left w:val="single" w:sz="4" w:space="0" w:color="000000"/>
              <w:bottom w:val="single" w:sz="4" w:space="0" w:color="000000"/>
              <w:right w:val="single" w:sz="4" w:space="0" w:color="000000"/>
            </w:tcBorders>
          </w:tcPr>
          <w:p w14:paraId="1820E2D4" w14:textId="77777777" w:rsidR="0099442F" w:rsidRPr="006D2651" w:rsidRDefault="0099442F" w:rsidP="00A10F1B">
            <w:pPr>
              <w:kinsoku w:val="0"/>
              <w:overflowPunct w:val="0"/>
              <w:autoSpaceDE w:val="0"/>
              <w:autoSpaceDN w:val="0"/>
              <w:adjustRightInd w:val="0"/>
              <w:spacing w:after="0"/>
              <w:ind w:left="118"/>
              <w:rPr>
                <w:rFonts w:ascii="Times New Roman" w:eastAsiaTheme="minorHAnsi" w:hAnsi="Times New Roman"/>
                <w:sz w:val="20"/>
                <w:szCs w:val="20"/>
              </w:rPr>
            </w:pPr>
            <w:r w:rsidRPr="006D2651">
              <w:rPr>
                <w:rFonts w:ascii="Times New Roman" w:eastAsiaTheme="minorHAnsi" w:hAnsi="Times New Roman"/>
                <w:sz w:val="20"/>
                <w:szCs w:val="20"/>
              </w:rPr>
              <w:t>Year- 2</w:t>
            </w:r>
          </w:p>
        </w:tc>
        <w:tc>
          <w:tcPr>
            <w:tcW w:w="931" w:type="dxa"/>
            <w:tcBorders>
              <w:top w:val="single" w:sz="4" w:space="0" w:color="000000"/>
              <w:left w:val="single" w:sz="4" w:space="0" w:color="000000"/>
              <w:bottom w:val="single" w:sz="4" w:space="0" w:color="000000"/>
              <w:right w:val="single" w:sz="4" w:space="0" w:color="000000"/>
            </w:tcBorders>
          </w:tcPr>
          <w:p w14:paraId="40AA9830" w14:textId="77777777" w:rsidR="0099442F" w:rsidRPr="006D2651" w:rsidRDefault="0099442F" w:rsidP="00A10F1B">
            <w:pPr>
              <w:kinsoku w:val="0"/>
              <w:overflowPunct w:val="0"/>
              <w:autoSpaceDE w:val="0"/>
              <w:autoSpaceDN w:val="0"/>
              <w:adjustRightInd w:val="0"/>
              <w:spacing w:after="0"/>
              <w:ind w:left="116"/>
              <w:rPr>
                <w:rFonts w:ascii="Times New Roman" w:eastAsiaTheme="minorHAnsi" w:hAnsi="Times New Roman"/>
                <w:sz w:val="20"/>
                <w:szCs w:val="20"/>
              </w:rPr>
            </w:pPr>
            <w:r w:rsidRPr="006D2651">
              <w:rPr>
                <w:rFonts w:ascii="Times New Roman" w:eastAsiaTheme="minorHAnsi" w:hAnsi="Times New Roman"/>
                <w:sz w:val="20"/>
                <w:szCs w:val="20"/>
              </w:rPr>
              <w:t>Year- 3</w:t>
            </w:r>
          </w:p>
        </w:tc>
        <w:tc>
          <w:tcPr>
            <w:tcW w:w="1200" w:type="dxa"/>
            <w:gridSpan w:val="2"/>
            <w:tcBorders>
              <w:top w:val="single" w:sz="4" w:space="0" w:color="000000"/>
              <w:left w:val="single" w:sz="4" w:space="0" w:color="000000"/>
              <w:bottom w:val="single" w:sz="4" w:space="0" w:color="000000"/>
              <w:right w:val="single" w:sz="4" w:space="0" w:color="000000"/>
            </w:tcBorders>
          </w:tcPr>
          <w:p w14:paraId="6B9D4A9E" w14:textId="77777777" w:rsidR="0099442F" w:rsidRPr="006D2651" w:rsidRDefault="0099442F" w:rsidP="00A10F1B">
            <w:pPr>
              <w:kinsoku w:val="0"/>
              <w:overflowPunct w:val="0"/>
              <w:autoSpaceDE w:val="0"/>
              <w:autoSpaceDN w:val="0"/>
              <w:adjustRightInd w:val="0"/>
              <w:spacing w:after="0"/>
              <w:ind w:left="254"/>
              <w:rPr>
                <w:rFonts w:ascii="Times New Roman" w:eastAsiaTheme="minorHAnsi" w:hAnsi="Times New Roman"/>
                <w:sz w:val="20"/>
                <w:szCs w:val="20"/>
              </w:rPr>
            </w:pPr>
            <w:r w:rsidRPr="006D2651">
              <w:rPr>
                <w:rFonts w:ascii="Times New Roman" w:eastAsiaTheme="minorHAnsi" w:hAnsi="Times New Roman"/>
                <w:sz w:val="20"/>
                <w:szCs w:val="20"/>
              </w:rPr>
              <w:t>---------</w:t>
            </w:r>
          </w:p>
          <w:p w14:paraId="0C447FCB" w14:textId="77777777" w:rsidR="0099442F" w:rsidRPr="006D2651" w:rsidRDefault="0099442F" w:rsidP="00A10F1B">
            <w:pPr>
              <w:kinsoku w:val="0"/>
              <w:overflowPunct w:val="0"/>
              <w:autoSpaceDE w:val="0"/>
              <w:autoSpaceDN w:val="0"/>
              <w:adjustRightInd w:val="0"/>
              <w:spacing w:before="6" w:after="0"/>
              <w:ind w:left="233"/>
              <w:rPr>
                <w:rFonts w:ascii="Times New Roman" w:eastAsiaTheme="minorHAnsi" w:hAnsi="Times New Roman"/>
                <w:sz w:val="20"/>
                <w:szCs w:val="20"/>
              </w:rPr>
            </w:pPr>
            <w:r w:rsidRPr="006D2651">
              <w:rPr>
                <w:rFonts w:ascii="Times New Roman" w:eastAsiaTheme="minorHAnsi" w:hAnsi="Times New Roman"/>
                <w:sz w:val="20"/>
                <w:szCs w:val="20"/>
              </w:rPr>
              <w:t>Year25</w:t>
            </w:r>
          </w:p>
        </w:tc>
      </w:tr>
      <w:tr w:rsidR="0099442F" w:rsidRPr="006D2651" w14:paraId="1EEB563B" w14:textId="77777777" w:rsidTr="00A10F1B">
        <w:trPr>
          <w:trHeight w:val="328"/>
        </w:trPr>
        <w:tc>
          <w:tcPr>
            <w:tcW w:w="994" w:type="dxa"/>
            <w:tcBorders>
              <w:top w:val="single" w:sz="4" w:space="0" w:color="000000"/>
              <w:left w:val="single" w:sz="4" w:space="0" w:color="000000"/>
              <w:bottom w:val="single" w:sz="4" w:space="0" w:color="000000"/>
              <w:right w:val="single" w:sz="4" w:space="0" w:color="000000"/>
            </w:tcBorders>
          </w:tcPr>
          <w:p w14:paraId="578AB7DB" w14:textId="77777777" w:rsidR="0099442F" w:rsidRPr="006D2651" w:rsidRDefault="0099442F" w:rsidP="00A10F1B">
            <w:pPr>
              <w:kinsoku w:val="0"/>
              <w:overflowPunct w:val="0"/>
              <w:autoSpaceDE w:val="0"/>
              <w:autoSpaceDN w:val="0"/>
              <w:adjustRightInd w:val="0"/>
              <w:spacing w:before="4" w:after="0"/>
              <w:ind w:left="6"/>
              <w:jc w:val="center"/>
              <w:rPr>
                <w:rFonts w:ascii="Times New Roman" w:eastAsiaTheme="minorHAnsi" w:hAnsi="Times New Roman"/>
                <w:b/>
                <w:bCs/>
                <w:w w:val="102"/>
                <w:sz w:val="20"/>
                <w:szCs w:val="20"/>
              </w:rPr>
            </w:pPr>
            <w:r w:rsidRPr="006D2651">
              <w:rPr>
                <w:rFonts w:ascii="Times New Roman" w:eastAsiaTheme="minorHAnsi" w:hAnsi="Times New Roman"/>
                <w:b/>
                <w:bCs/>
                <w:w w:val="102"/>
                <w:sz w:val="20"/>
                <w:szCs w:val="20"/>
              </w:rPr>
              <w:t>1</w:t>
            </w:r>
          </w:p>
        </w:tc>
        <w:tc>
          <w:tcPr>
            <w:tcW w:w="2146" w:type="dxa"/>
            <w:tcBorders>
              <w:top w:val="single" w:sz="4" w:space="0" w:color="000000"/>
              <w:left w:val="single" w:sz="4" w:space="0" w:color="000000"/>
              <w:bottom w:val="single" w:sz="4" w:space="0" w:color="000000"/>
              <w:right w:val="single" w:sz="4" w:space="0" w:color="000000"/>
            </w:tcBorders>
          </w:tcPr>
          <w:p w14:paraId="7FBC3ED2" w14:textId="77777777" w:rsidR="0099442F" w:rsidRPr="006D2651" w:rsidRDefault="0099442F" w:rsidP="00A10F1B">
            <w:pPr>
              <w:kinsoku w:val="0"/>
              <w:overflowPunct w:val="0"/>
              <w:autoSpaceDE w:val="0"/>
              <w:autoSpaceDN w:val="0"/>
              <w:adjustRightInd w:val="0"/>
              <w:spacing w:before="4" w:after="0"/>
              <w:ind w:left="100"/>
              <w:rPr>
                <w:rFonts w:ascii="Times New Roman" w:eastAsiaTheme="minorHAnsi" w:hAnsi="Times New Roman"/>
                <w:b/>
                <w:bCs/>
                <w:sz w:val="20"/>
                <w:szCs w:val="20"/>
              </w:rPr>
            </w:pPr>
            <w:r w:rsidRPr="006D2651">
              <w:rPr>
                <w:rFonts w:ascii="Times New Roman" w:eastAsiaTheme="minorHAnsi" w:hAnsi="Times New Roman"/>
                <w:b/>
                <w:bCs/>
                <w:sz w:val="20"/>
                <w:szCs w:val="20"/>
              </w:rPr>
              <w:t>Sources of funds</w:t>
            </w:r>
          </w:p>
        </w:tc>
        <w:tc>
          <w:tcPr>
            <w:tcW w:w="920" w:type="dxa"/>
            <w:tcBorders>
              <w:top w:val="single" w:sz="4" w:space="0" w:color="000000"/>
              <w:left w:val="single" w:sz="4" w:space="0" w:color="000000"/>
              <w:bottom w:val="single" w:sz="4" w:space="0" w:color="000000"/>
              <w:right w:val="single" w:sz="4" w:space="0" w:color="000000"/>
            </w:tcBorders>
          </w:tcPr>
          <w:p w14:paraId="73C2FE9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AACD95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7419CDC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1CF7D42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6A9206F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7F226A8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665CADD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C86800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69596D40" w14:textId="77777777" w:rsidTr="00A10F1B">
        <w:trPr>
          <w:trHeight w:val="516"/>
        </w:trPr>
        <w:tc>
          <w:tcPr>
            <w:tcW w:w="994" w:type="dxa"/>
            <w:vMerge w:val="restart"/>
            <w:tcBorders>
              <w:top w:val="single" w:sz="4" w:space="0" w:color="000000"/>
              <w:left w:val="single" w:sz="4" w:space="0" w:color="000000"/>
              <w:bottom w:val="single" w:sz="4" w:space="0" w:color="000000"/>
              <w:right w:val="single" w:sz="4" w:space="0" w:color="000000"/>
            </w:tcBorders>
          </w:tcPr>
          <w:p w14:paraId="4557D14D" w14:textId="77777777" w:rsidR="0099442F" w:rsidRPr="006D2651" w:rsidRDefault="0099442F" w:rsidP="00A10F1B">
            <w:pPr>
              <w:kinsoku w:val="0"/>
              <w:overflowPunct w:val="0"/>
              <w:autoSpaceDE w:val="0"/>
              <w:autoSpaceDN w:val="0"/>
              <w:adjustRightInd w:val="0"/>
              <w:spacing w:after="0"/>
              <w:ind w:left="438" w:right="430" w:firstLine="1"/>
              <w:jc w:val="center"/>
              <w:rPr>
                <w:rFonts w:ascii="Times New Roman" w:eastAsiaTheme="minorHAnsi" w:hAnsi="Times New Roman"/>
                <w:sz w:val="20"/>
                <w:szCs w:val="20"/>
              </w:rPr>
            </w:pPr>
            <w:r w:rsidRPr="006D2651">
              <w:rPr>
                <w:rFonts w:ascii="Times New Roman" w:eastAsiaTheme="minorHAnsi" w:hAnsi="Times New Roman"/>
                <w:sz w:val="20"/>
                <w:szCs w:val="20"/>
              </w:rPr>
              <w:t>a b</w:t>
            </w:r>
          </w:p>
          <w:p w14:paraId="550555D5" w14:textId="77777777" w:rsidR="0099442F" w:rsidRPr="006D2651" w:rsidRDefault="0099442F" w:rsidP="00A10F1B">
            <w:pPr>
              <w:kinsoku w:val="0"/>
              <w:overflowPunct w:val="0"/>
              <w:autoSpaceDE w:val="0"/>
              <w:autoSpaceDN w:val="0"/>
              <w:adjustRightInd w:val="0"/>
              <w:spacing w:after="0"/>
              <w:ind w:left="438" w:right="430" w:firstLine="1"/>
              <w:jc w:val="center"/>
              <w:rPr>
                <w:rFonts w:ascii="Times New Roman" w:eastAsiaTheme="minorHAnsi" w:hAnsi="Times New Roman"/>
                <w:sz w:val="20"/>
                <w:szCs w:val="20"/>
              </w:rPr>
            </w:pPr>
            <w:r w:rsidRPr="006D2651">
              <w:rPr>
                <w:rFonts w:ascii="Times New Roman" w:eastAsiaTheme="minorHAnsi" w:hAnsi="Times New Roman"/>
                <w:sz w:val="20"/>
                <w:szCs w:val="20"/>
              </w:rPr>
              <w:t>c d</w:t>
            </w:r>
          </w:p>
          <w:p w14:paraId="48BAA492" w14:textId="77777777" w:rsidR="0099442F" w:rsidRPr="006D2651" w:rsidRDefault="0099442F" w:rsidP="00A10F1B">
            <w:pPr>
              <w:kinsoku w:val="0"/>
              <w:overflowPunct w:val="0"/>
              <w:autoSpaceDE w:val="0"/>
              <w:autoSpaceDN w:val="0"/>
              <w:adjustRightInd w:val="0"/>
              <w:spacing w:before="3" w:after="0"/>
              <w:rPr>
                <w:rFonts w:ascii="Times New Roman" w:eastAsiaTheme="minorHAnsi" w:hAnsi="Times New Roman"/>
                <w:b/>
                <w:bCs/>
                <w:sz w:val="20"/>
                <w:szCs w:val="20"/>
              </w:rPr>
            </w:pPr>
          </w:p>
          <w:p w14:paraId="3B4846DD" w14:textId="77777777" w:rsidR="0099442F" w:rsidRPr="006D2651" w:rsidRDefault="0099442F" w:rsidP="00A10F1B">
            <w:pPr>
              <w:kinsoku w:val="0"/>
              <w:overflowPunct w:val="0"/>
              <w:autoSpaceDE w:val="0"/>
              <w:autoSpaceDN w:val="0"/>
              <w:adjustRightInd w:val="0"/>
              <w:spacing w:after="0"/>
              <w:ind w:left="8"/>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e</w:t>
            </w:r>
          </w:p>
        </w:tc>
        <w:tc>
          <w:tcPr>
            <w:tcW w:w="2146" w:type="dxa"/>
            <w:tcBorders>
              <w:top w:val="single" w:sz="4" w:space="0" w:color="000000"/>
              <w:left w:val="single" w:sz="4" w:space="0" w:color="000000"/>
              <w:bottom w:val="single" w:sz="4" w:space="0" w:color="000000"/>
              <w:right w:val="single" w:sz="4" w:space="0" w:color="000000"/>
            </w:tcBorders>
          </w:tcPr>
          <w:p w14:paraId="5ED34D3F" w14:textId="77777777" w:rsidR="0099442F" w:rsidRPr="006D2651" w:rsidRDefault="0099442F" w:rsidP="00A10F1B">
            <w:pPr>
              <w:kinsoku w:val="0"/>
              <w:overflowPunct w:val="0"/>
              <w:autoSpaceDE w:val="0"/>
              <w:autoSpaceDN w:val="0"/>
              <w:adjustRightInd w:val="0"/>
              <w:spacing w:after="0"/>
              <w:ind w:left="99"/>
              <w:rPr>
                <w:rFonts w:ascii="Times New Roman" w:eastAsiaTheme="minorHAnsi" w:hAnsi="Times New Roman"/>
                <w:sz w:val="20"/>
                <w:szCs w:val="20"/>
              </w:rPr>
            </w:pPr>
            <w:r w:rsidRPr="006D2651">
              <w:rPr>
                <w:rFonts w:ascii="Times New Roman" w:eastAsiaTheme="minorHAnsi" w:hAnsi="Times New Roman"/>
                <w:sz w:val="20"/>
                <w:szCs w:val="20"/>
              </w:rPr>
              <w:t>Equity or Preference</w:t>
            </w:r>
          </w:p>
          <w:p w14:paraId="6B47563B"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Equity (*)</w:t>
            </w:r>
          </w:p>
        </w:tc>
        <w:tc>
          <w:tcPr>
            <w:tcW w:w="920" w:type="dxa"/>
            <w:tcBorders>
              <w:top w:val="single" w:sz="4" w:space="0" w:color="000000"/>
              <w:left w:val="single" w:sz="4" w:space="0" w:color="000000"/>
              <w:bottom w:val="single" w:sz="4" w:space="0" w:color="000000"/>
              <w:right w:val="single" w:sz="4" w:space="0" w:color="000000"/>
            </w:tcBorders>
          </w:tcPr>
          <w:p w14:paraId="2AC4084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D7F36F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546D203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7978A59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24751E4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3C18031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003AFC5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71EE986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60C28D9F" w14:textId="77777777" w:rsidTr="00A10F1B">
        <w:trPr>
          <w:trHeight w:val="520"/>
        </w:trPr>
        <w:tc>
          <w:tcPr>
            <w:tcW w:w="994" w:type="dxa"/>
            <w:vMerge/>
            <w:tcBorders>
              <w:top w:val="nil"/>
              <w:left w:val="single" w:sz="4" w:space="0" w:color="000000"/>
              <w:bottom w:val="single" w:sz="4" w:space="0" w:color="000000"/>
              <w:right w:val="single" w:sz="4" w:space="0" w:color="000000"/>
            </w:tcBorders>
          </w:tcPr>
          <w:p w14:paraId="26C12391"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5A7E3A0E"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Term Loans and</w:t>
            </w:r>
          </w:p>
          <w:p w14:paraId="378616C2"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short term loans</w:t>
            </w:r>
          </w:p>
        </w:tc>
        <w:tc>
          <w:tcPr>
            <w:tcW w:w="920" w:type="dxa"/>
            <w:tcBorders>
              <w:top w:val="single" w:sz="4" w:space="0" w:color="000000"/>
              <w:left w:val="single" w:sz="4" w:space="0" w:color="000000"/>
              <w:bottom w:val="single" w:sz="4" w:space="0" w:color="000000"/>
              <w:right w:val="single" w:sz="4" w:space="0" w:color="000000"/>
            </w:tcBorders>
          </w:tcPr>
          <w:p w14:paraId="2E23EAF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2FAD5E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5BEE0C7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5661E90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0534C427"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5455B82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77867B8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7D3E795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6E6FDC4B" w14:textId="77777777" w:rsidTr="00A10F1B">
        <w:trPr>
          <w:trHeight w:val="258"/>
        </w:trPr>
        <w:tc>
          <w:tcPr>
            <w:tcW w:w="994" w:type="dxa"/>
            <w:vMerge/>
            <w:tcBorders>
              <w:top w:val="nil"/>
              <w:left w:val="single" w:sz="4" w:space="0" w:color="000000"/>
              <w:bottom w:val="single" w:sz="4" w:space="0" w:color="000000"/>
              <w:right w:val="single" w:sz="4" w:space="0" w:color="000000"/>
            </w:tcBorders>
          </w:tcPr>
          <w:p w14:paraId="22BFE674"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36F8B3E0" w14:textId="77777777" w:rsidR="0099442F" w:rsidRPr="006D2651" w:rsidRDefault="0099442F" w:rsidP="00A10F1B">
            <w:pPr>
              <w:kinsoku w:val="0"/>
              <w:overflowPunct w:val="0"/>
              <w:autoSpaceDE w:val="0"/>
              <w:autoSpaceDN w:val="0"/>
              <w:adjustRightInd w:val="0"/>
              <w:spacing w:after="0"/>
              <w:ind w:left="99"/>
              <w:rPr>
                <w:rFonts w:ascii="Times New Roman" w:eastAsiaTheme="minorHAnsi" w:hAnsi="Times New Roman"/>
                <w:sz w:val="20"/>
                <w:szCs w:val="20"/>
              </w:rPr>
            </w:pPr>
            <w:r w:rsidRPr="006D2651">
              <w:rPr>
                <w:rFonts w:ascii="Times New Roman" w:eastAsiaTheme="minorHAnsi" w:hAnsi="Times New Roman"/>
                <w:sz w:val="20"/>
                <w:szCs w:val="20"/>
              </w:rPr>
              <w:t>Cash from operations</w:t>
            </w:r>
          </w:p>
        </w:tc>
        <w:tc>
          <w:tcPr>
            <w:tcW w:w="920" w:type="dxa"/>
            <w:tcBorders>
              <w:top w:val="single" w:sz="4" w:space="0" w:color="000000"/>
              <w:left w:val="single" w:sz="4" w:space="0" w:color="000000"/>
              <w:bottom w:val="single" w:sz="4" w:space="0" w:color="000000"/>
              <w:right w:val="single" w:sz="4" w:space="0" w:color="000000"/>
            </w:tcBorders>
          </w:tcPr>
          <w:p w14:paraId="7E197A0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26A6C3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37C5D9D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3C42C38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685300C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5350E49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615E9E6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5F04AB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02EE80DA" w14:textId="77777777" w:rsidTr="00A10F1B">
        <w:trPr>
          <w:trHeight w:val="517"/>
        </w:trPr>
        <w:tc>
          <w:tcPr>
            <w:tcW w:w="994" w:type="dxa"/>
            <w:vMerge/>
            <w:tcBorders>
              <w:top w:val="nil"/>
              <w:left w:val="single" w:sz="4" w:space="0" w:color="000000"/>
              <w:bottom w:val="single" w:sz="4" w:space="0" w:color="000000"/>
              <w:right w:val="single" w:sz="4" w:space="0" w:color="000000"/>
            </w:tcBorders>
          </w:tcPr>
          <w:p w14:paraId="54632CD2"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7BBB4CA0"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Bank borrowings for</w:t>
            </w:r>
          </w:p>
          <w:p w14:paraId="5B779C3F"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working capital</w:t>
            </w:r>
          </w:p>
        </w:tc>
        <w:tc>
          <w:tcPr>
            <w:tcW w:w="920" w:type="dxa"/>
            <w:tcBorders>
              <w:top w:val="single" w:sz="4" w:space="0" w:color="000000"/>
              <w:left w:val="single" w:sz="4" w:space="0" w:color="000000"/>
              <w:bottom w:val="single" w:sz="4" w:space="0" w:color="000000"/>
              <w:right w:val="single" w:sz="4" w:space="0" w:color="000000"/>
            </w:tcBorders>
          </w:tcPr>
          <w:p w14:paraId="16B1FC2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52205E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454A5F0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512CEBD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4360251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5A7CC87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00234B8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6515732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4AFB4371" w14:textId="77777777" w:rsidTr="00A10F1B">
        <w:trPr>
          <w:trHeight w:val="517"/>
        </w:trPr>
        <w:tc>
          <w:tcPr>
            <w:tcW w:w="994" w:type="dxa"/>
            <w:vMerge/>
            <w:tcBorders>
              <w:top w:val="nil"/>
              <w:left w:val="single" w:sz="4" w:space="0" w:color="000000"/>
              <w:bottom w:val="single" w:sz="4" w:space="0" w:color="000000"/>
              <w:right w:val="single" w:sz="4" w:space="0" w:color="000000"/>
            </w:tcBorders>
          </w:tcPr>
          <w:p w14:paraId="12D1CE1D"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15DCFABE" w14:textId="77777777" w:rsidR="0099442F" w:rsidRPr="006D2651" w:rsidRDefault="0099442F" w:rsidP="00A10F1B">
            <w:pPr>
              <w:kinsoku w:val="0"/>
              <w:overflowPunct w:val="0"/>
              <w:autoSpaceDE w:val="0"/>
              <w:autoSpaceDN w:val="0"/>
              <w:adjustRightInd w:val="0"/>
              <w:spacing w:after="0"/>
              <w:ind w:left="99"/>
              <w:rPr>
                <w:rFonts w:ascii="Times New Roman" w:eastAsiaTheme="minorHAnsi" w:hAnsi="Times New Roman"/>
                <w:sz w:val="20"/>
                <w:szCs w:val="20"/>
              </w:rPr>
            </w:pPr>
            <w:r w:rsidRPr="006D2651">
              <w:rPr>
                <w:rFonts w:ascii="Times New Roman" w:eastAsiaTheme="minorHAnsi" w:hAnsi="Times New Roman"/>
                <w:sz w:val="20"/>
                <w:szCs w:val="20"/>
              </w:rPr>
              <w:t>Others (please</w:t>
            </w:r>
          </w:p>
          <w:p w14:paraId="598C0B16"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specify)</w:t>
            </w:r>
          </w:p>
        </w:tc>
        <w:tc>
          <w:tcPr>
            <w:tcW w:w="920" w:type="dxa"/>
            <w:tcBorders>
              <w:top w:val="single" w:sz="4" w:space="0" w:color="000000"/>
              <w:left w:val="single" w:sz="4" w:space="0" w:color="000000"/>
              <w:bottom w:val="single" w:sz="4" w:space="0" w:color="000000"/>
              <w:right w:val="single" w:sz="4" w:space="0" w:color="000000"/>
            </w:tcBorders>
          </w:tcPr>
          <w:p w14:paraId="6C92307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F595D0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6251D63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7894CB0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7F3EE3A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2AB14CF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6EE2C04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BF82DA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601E6930" w14:textId="77777777" w:rsidTr="00A10F1B">
        <w:trPr>
          <w:trHeight w:val="258"/>
        </w:trPr>
        <w:tc>
          <w:tcPr>
            <w:tcW w:w="994" w:type="dxa"/>
            <w:tcBorders>
              <w:top w:val="single" w:sz="4" w:space="0" w:color="000000"/>
              <w:left w:val="single" w:sz="4" w:space="0" w:color="000000"/>
              <w:bottom w:val="single" w:sz="4" w:space="0" w:color="000000"/>
              <w:right w:val="single" w:sz="4" w:space="0" w:color="000000"/>
            </w:tcBorders>
          </w:tcPr>
          <w:p w14:paraId="24572A9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3F0A4D0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20" w:type="dxa"/>
            <w:tcBorders>
              <w:top w:val="single" w:sz="4" w:space="0" w:color="000000"/>
              <w:left w:val="single" w:sz="4" w:space="0" w:color="000000"/>
              <w:bottom w:val="single" w:sz="4" w:space="0" w:color="000000"/>
              <w:right w:val="single" w:sz="4" w:space="0" w:color="000000"/>
            </w:tcBorders>
          </w:tcPr>
          <w:p w14:paraId="0939114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D57C80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5BA2619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7F874AD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044F7B58"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783B930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2084F00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26FA01A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13F82FD5" w14:textId="77777777" w:rsidTr="00A10F1B">
        <w:trPr>
          <w:trHeight w:val="258"/>
        </w:trPr>
        <w:tc>
          <w:tcPr>
            <w:tcW w:w="994" w:type="dxa"/>
            <w:tcBorders>
              <w:top w:val="single" w:sz="4" w:space="0" w:color="000000"/>
              <w:left w:val="single" w:sz="4" w:space="0" w:color="000000"/>
              <w:bottom w:val="single" w:sz="4" w:space="0" w:color="000000"/>
              <w:right w:val="single" w:sz="4" w:space="0" w:color="000000"/>
            </w:tcBorders>
          </w:tcPr>
          <w:p w14:paraId="09B64A81" w14:textId="77777777" w:rsidR="0099442F" w:rsidRPr="006D2651" w:rsidRDefault="0099442F" w:rsidP="00A10F1B">
            <w:pPr>
              <w:kinsoku w:val="0"/>
              <w:overflowPunct w:val="0"/>
              <w:autoSpaceDE w:val="0"/>
              <w:autoSpaceDN w:val="0"/>
              <w:adjustRightInd w:val="0"/>
              <w:spacing w:before="1" w:after="0"/>
              <w:ind w:left="6"/>
              <w:jc w:val="center"/>
              <w:rPr>
                <w:rFonts w:ascii="Times New Roman" w:eastAsiaTheme="minorHAnsi" w:hAnsi="Times New Roman"/>
                <w:b/>
                <w:bCs/>
                <w:w w:val="102"/>
                <w:sz w:val="20"/>
                <w:szCs w:val="20"/>
              </w:rPr>
            </w:pPr>
            <w:r w:rsidRPr="006D2651">
              <w:rPr>
                <w:rFonts w:ascii="Times New Roman" w:eastAsiaTheme="minorHAnsi" w:hAnsi="Times New Roman"/>
                <w:b/>
                <w:bCs/>
                <w:w w:val="102"/>
                <w:sz w:val="20"/>
                <w:szCs w:val="20"/>
              </w:rPr>
              <w:t>2</w:t>
            </w:r>
          </w:p>
        </w:tc>
        <w:tc>
          <w:tcPr>
            <w:tcW w:w="2146" w:type="dxa"/>
            <w:tcBorders>
              <w:top w:val="single" w:sz="4" w:space="0" w:color="000000"/>
              <w:left w:val="single" w:sz="4" w:space="0" w:color="000000"/>
              <w:bottom w:val="single" w:sz="4" w:space="0" w:color="000000"/>
              <w:right w:val="single" w:sz="4" w:space="0" w:color="000000"/>
            </w:tcBorders>
          </w:tcPr>
          <w:p w14:paraId="3154F834" w14:textId="77777777" w:rsidR="0099442F" w:rsidRPr="006D2651" w:rsidRDefault="0099442F" w:rsidP="00A10F1B">
            <w:pPr>
              <w:kinsoku w:val="0"/>
              <w:overflowPunct w:val="0"/>
              <w:autoSpaceDE w:val="0"/>
              <w:autoSpaceDN w:val="0"/>
              <w:adjustRightInd w:val="0"/>
              <w:spacing w:before="1" w:after="0"/>
              <w:ind w:left="100"/>
              <w:rPr>
                <w:rFonts w:ascii="Times New Roman" w:eastAsiaTheme="minorHAnsi" w:hAnsi="Times New Roman"/>
                <w:b/>
                <w:bCs/>
                <w:sz w:val="20"/>
                <w:szCs w:val="20"/>
              </w:rPr>
            </w:pPr>
            <w:r w:rsidRPr="006D2651">
              <w:rPr>
                <w:rFonts w:ascii="Times New Roman" w:eastAsiaTheme="minorHAnsi" w:hAnsi="Times New Roman"/>
                <w:b/>
                <w:bCs/>
                <w:sz w:val="20"/>
                <w:szCs w:val="20"/>
              </w:rPr>
              <w:t>Uses of funds</w:t>
            </w:r>
          </w:p>
        </w:tc>
        <w:tc>
          <w:tcPr>
            <w:tcW w:w="920" w:type="dxa"/>
            <w:tcBorders>
              <w:top w:val="single" w:sz="4" w:space="0" w:color="000000"/>
              <w:left w:val="single" w:sz="4" w:space="0" w:color="000000"/>
              <w:bottom w:val="single" w:sz="4" w:space="0" w:color="000000"/>
              <w:right w:val="single" w:sz="4" w:space="0" w:color="000000"/>
            </w:tcBorders>
          </w:tcPr>
          <w:p w14:paraId="23C2A55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D4E4BF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3FC4BCD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798C441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151C051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6EFCE13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7658868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3D2D754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7BEF3933" w14:textId="77777777" w:rsidTr="00A10F1B">
        <w:trPr>
          <w:trHeight w:val="260"/>
        </w:trPr>
        <w:tc>
          <w:tcPr>
            <w:tcW w:w="994" w:type="dxa"/>
            <w:vMerge w:val="restart"/>
            <w:tcBorders>
              <w:top w:val="single" w:sz="4" w:space="0" w:color="000000"/>
              <w:left w:val="single" w:sz="4" w:space="0" w:color="000000"/>
              <w:bottom w:val="single" w:sz="4" w:space="0" w:color="000000"/>
              <w:right w:val="single" w:sz="4" w:space="0" w:color="000000"/>
            </w:tcBorders>
          </w:tcPr>
          <w:p w14:paraId="334FC377" w14:textId="77777777" w:rsidR="0099442F" w:rsidRPr="006D2651" w:rsidRDefault="0099442F" w:rsidP="00A10F1B">
            <w:pPr>
              <w:kinsoku w:val="0"/>
              <w:overflowPunct w:val="0"/>
              <w:autoSpaceDE w:val="0"/>
              <w:autoSpaceDN w:val="0"/>
              <w:adjustRightInd w:val="0"/>
              <w:spacing w:after="0"/>
              <w:ind w:left="438" w:right="430" w:firstLine="1"/>
              <w:jc w:val="center"/>
              <w:rPr>
                <w:rFonts w:ascii="Times New Roman" w:eastAsiaTheme="minorHAnsi" w:hAnsi="Times New Roman"/>
                <w:sz w:val="20"/>
                <w:szCs w:val="20"/>
              </w:rPr>
            </w:pPr>
            <w:r w:rsidRPr="006D2651">
              <w:rPr>
                <w:rFonts w:ascii="Times New Roman" w:eastAsiaTheme="minorHAnsi" w:hAnsi="Times New Roman"/>
                <w:sz w:val="20"/>
                <w:szCs w:val="20"/>
              </w:rPr>
              <w:t>a b</w:t>
            </w:r>
          </w:p>
          <w:p w14:paraId="160A71D7" w14:textId="77777777" w:rsidR="0099442F" w:rsidRPr="006D2651" w:rsidRDefault="0099442F" w:rsidP="00A10F1B">
            <w:pPr>
              <w:kinsoku w:val="0"/>
              <w:overflowPunct w:val="0"/>
              <w:autoSpaceDE w:val="0"/>
              <w:autoSpaceDN w:val="0"/>
              <w:adjustRightInd w:val="0"/>
              <w:spacing w:before="4" w:after="0"/>
              <w:rPr>
                <w:rFonts w:ascii="Times New Roman" w:eastAsiaTheme="minorHAnsi" w:hAnsi="Times New Roman"/>
                <w:b/>
                <w:bCs/>
                <w:sz w:val="20"/>
                <w:szCs w:val="20"/>
              </w:rPr>
            </w:pPr>
          </w:p>
          <w:p w14:paraId="29BE1521" w14:textId="77777777" w:rsidR="0099442F" w:rsidRPr="006D2651" w:rsidRDefault="0099442F" w:rsidP="00A10F1B">
            <w:pPr>
              <w:kinsoku w:val="0"/>
              <w:overflowPunct w:val="0"/>
              <w:autoSpaceDE w:val="0"/>
              <w:autoSpaceDN w:val="0"/>
              <w:adjustRightInd w:val="0"/>
              <w:spacing w:after="0"/>
              <w:ind w:left="6"/>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c</w:t>
            </w:r>
          </w:p>
          <w:p w14:paraId="7C3D6C86" w14:textId="77777777" w:rsidR="0099442F" w:rsidRPr="006D2651" w:rsidRDefault="0099442F" w:rsidP="00A10F1B">
            <w:pPr>
              <w:kinsoku w:val="0"/>
              <w:overflowPunct w:val="0"/>
              <w:autoSpaceDE w:val="0"/>
              <w:autoSpaceDN w:val="0"/>
              <w:adjustRightInd w:val="0"/>
              <w:spacing w:before="11" w:after="0"/>
              <w:rPr>
                <w:rFonts w:ascii="Times New Roman" w:eastAsiaTheme="minorHAnsi" w:hAnsi="Times New Roman"/>
                <w:b/>
                <w:bCs/>
                <w:sz w:val="20"/>
                <w:szCs w:val="20"/>
              </w:rPr>
            </w:pPr>
          </w:p>
          <w:p w14:paraId="5B795334" w14:textId="77777777" w:rsidR="0099442F" w:rsidRPr="006D2651" w:rsidRDefault="0099442F" w:rsidP="00A10F1B">
            <w:pPr>
              <w:kinsoku w:val="0"/>
              <w:overflowPunct w:val="0"/>
              <w:autoSpaceDE w:val="0"/>
              <w:autoSpaceDN w:val="0"/>
              <w:adjustRightInd w:val="0"/>
              <w:spacing w:after="0"/>
              <w:ind w:left="438" w:right="430"/>
              <w:jc w:val="center"/>
              <w:rPr>
                <w:rFonts w:ascii="Times New Roman" w:eastAsiaTheme="minorHAnsi" w:hAnsi="Times New Roman"/>
                <w:sz w:val="20"/>
                <w:szCs w:val="20"/>
              </w:rPr>
            </w:pPr>
            <w:r w:rsidRPr="006D2651">
              <w:rPr>
                <w:rFonts w:ascii="Times New Roman" w:eastAsiaTheme="minorHAnsi" w:hAnsi="Times New Roman"/>
                <w:sz w:val="20"/>
                <w:szCs w:val="20"/>
              </w:rPr>
              <w:t>d e</w:t>
            </w:r>
          </w:p>
          <w:p w14:paraId="5879DBEA" w14:textId="77777777" w:rsidR="0099442F" w:rsidRPr="006D2651" w:rsidRDefault="0099442F" w:rsidP="00A10F1B">
            <w:pPr>
              <w:kinsoku w:val="0"/>
              <w:overflowPunct w:val="0"/>
              <w:autoSpaceDE w:val="0"/>
              <w:autoSpaceDN w:val="0"/>
              <w:adjustRightInd w:val="0"/>
              <w:spacing w:before="127" w:after="0"/>
              <w:ind w:left="7"/>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f</w:t>
            </w:r>
          </w:p>
          <w:p w14:paraId="55F67AAC" w14:textId="77777777" w:rsidR="0099442F" w:rsidRPr="006D2651" w:rsidRDefault="0099442F" w:rsidP="00A10F1B">
            <w:pPr>
              <w:kinsoku w:val="0"/>
              <w:overflowPunct w:val="0"/>
              <w:autoSpaceDE w:val="0"/>
              <w:autoSpaceDN w:val="0"/>
              <w:adjustRightInd w:val="0"/>
              <w:spacing w:before="10" w:after="0"/>
              <w:rPr>
                <w:rFonts w:ascii="Times New Roman" w:eastAsiaTheme="minorHAnsi" w:hAnsi="Times New Roman"/>
                <w:b/>
                <w:bCs/>
                <w:sz w:val="20"/>
                <w:szCs w:val="20"/>
              </w:rPr>
            </w:pPr>
          </w:p>
          <w:p w14:paraId="6BCCEA14" w14:textId="77777777" w:rsidR="0099442F" w:rsidRPr="006D2651" w:rsidRDefault="0099442F" w:rsidP="00A10F1B">
            <w:pPr>
              <w:kinsoku w:val="0"/>
              <w:overflowPunct w:val="0"/>
              <w:autoSpaceDE w:val="0"/>
              <w:autoSpaceDN w:val="0"/>
              <w:adjustRightInd w:val="0"/>
              <w:spacing w:after="0"/>
              <w:ind w:left="6"/>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g</w:t>
            </w:r>
          </w:p>
        </w:tc>
        <w:tc>
          <w:tcPr>
            <w:tcW w:w="2146" w:type="dxa"/>
            <w:tcBorders>
              <w:top w:val="single" w:sz="4" w:space="0" w:color="000000"/>
              <w:left w:val="single" w:sz="4" w:space="0" w:color="000000"/>
              <w:bottom w:val="single" w:sz="4" w:space="0" w:color="000000"/>
              <w:right w:val="single" w:sz="4" w:space="0" w:color="000000"/>
            </w:tcBorders>
          </w:tcPr>
          <w:p w14:paraId="2F3CFA0D"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Capital expenditure</w:t>
            </w:r>
          </w:p>
        </w:tc>
        <w:tc>
          <w:tcPr>
            <w:tcW w:w="920" w:type="dxa"/>
            <w:tcBorders>
              <w:top w:val="single" w:sz="4" w:space="0" w:color="000000"/>
              <w:left w:val="single" w:sz="4" w:space="0" w:color="000000"/>
              <w:bottom w:val="single" w:sz="4" w:space="0" w:color="000000"/>
              <w:right w:val="single" w:sz="4" w:space="0" w:color="000000"/>
            </w:tcBorders>
          </w:tcPr>
          <w:p w14:paraId="5151971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21D58E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7AE8FED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5786802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5DEE915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244B5DA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7A5574D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3B7112E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385DD189" w14:textId="77777777" w:rsidTr="00A10F1B">
        <w:trPr>
          <w:trHeight w:val="518"/>
        </w:trPr>
        <w:tc>
          <w:tcPr>
            <w:tcW w:w="994" w:type="dxa"/>
            <w:vMerge/>
            <w:tcBorders>
              <w:top w:val="nil"/>
              <w:left w:val="single" w:sz="4" w:space="0" w:color="000000"/>
              <w:bottom w:val="single" w:sz="4" w:space="0" w:color="000000"/>
              <w:right w:val="single" w:sz="4" w:space="0" w:color="000000"/>
            </w:tcBorders>
          </w:tcPr>
          <w:p w14:paraId="23726173"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76113F6F"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Normal/additional</w:t>
            </w:r>
          </w:p>
          <w:p w14:paraId="0EBB6A2E"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capital expenditure</w:t>
            </w:r>
          </w:p>
        </w:tc>
        <w:tc>
          <w:tcPr>
            <w:tcW w:w="920" w:type="dxa"/>
            <w:tcBorders>
              <w:top w:val="single" w:sz="4" w:space="0" w:color="000000"/>
              <w:left w:val="single" w:sz="4" w:space="0" w:color="000000"/>
              <w:bottom w:val="single" w:sz="4" w:space="0" w:color="000000"/>
              <w:right w:val="single" w:sz="4" w:space="0" w:color="000000"/>
            </w:tcBorders>
          </w:tcPr>
          <w:p w14:paraId="46E52D1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0FED48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B2BC90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49CB31A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133C00E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7FFA4FD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40D6BDD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93E5C0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5CD6ACE8" w14:textId="77777777" w:rsidTr="00A10F1B">
        <w:trPr>
          <w:trHeight w:val="777"/>
        </w:trPr>
        <w:tc>
          <w:tcPr>
            <w:tcW w:w="994" w:type="dxa"/>
            <w:vMerge/>
            <w:tcBorders>
              <w:top w:val="nil"/>
              <w:left w:val="single" w:sz="4" w:space="0" w:color="000000"/>
              <w:bottom w:val="single" w:sz="4" w:space="0" w:color="000000"/>
              <w:right w:val="single" w:sz="4" w:space="0" w:color="000000"/>
            </w:tcBorders>
          </w:tcPr>
          <w:p w14:paraId="023C4FD0"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5ECE8646"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Increase or</w:t>
            </w:r>
          </w:p>
          <w:p w14:paraId="34020F9D"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(decrease) in net working capital</w:t>
            </w:r>
          </w:p>
        </w:tc>
        <w:tc>
          <w:tcPr>
            <w:tcW w:w="920" w:type="dxa"/>
            <w:tcBorders>
              <w:top w:val="single" w:sz="4" w:space="0" w:color="000000"/>
              <w:left w:val="single" w:sz="4" w:space="0" w:color="000000"/>
              <w:bottom w:val="single" w:sz="4" w:space="0" w:color="000000"/>
              <w:right w:val="single" w:sz="4" w:space="0" w:color="000000"/>
            </w:tcBorders>
          </w:tcPr>
          <w:p w14:paraId="4E1DBEE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6312E4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7C8765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3071A63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1301D94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48F86D9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7D908DD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2D9F8C5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57FBFA5B" w14:textId="77777777" w:rsidTr="00A10F1B">
        <w:trPr>
          <w:trHeight w:val="258"/>
        </w:trPr>
        <w:tc>
          <w:tcPr>
            <w:tcW w:w="994" w:type="dxa"/>
            <w:vMerge/>
            <w:tcBorders>
              <w:top w:val="nil"/>
              <w:left w:val="single" w:sz="4" w:space="0" w:color="000000"/>
              <w:bottom w:val="single" w:sz="4" w:space="0" w:color="000000"/>
              <w:right w:val="single" w:sz="4" w:space="0" w:color="000000"/>
            </w:tcBorders>
          </w:tcPr>
          <w:p w14:paraId="32B423F0"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43D377FE"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Repayment of loans</w:t>
            </w:r>
          </w:p>
        </w:tc>
        <w:tc>
          <w:tcPr>
            <w:tcW w:w="920" w:type="dxa"/>
            <w:tcBorders>
              <w:top w:val="single" w:sz="4" w:space="0" w:color="000000"/>
              <w:left w:val="single" w:sz="4" w:space="0" w:color="000000"/>
              <w:bottom w:val="single" w:sz="4" w:space="0" w:color="000000"/>
              <w:right w:val="single" w:sz="4" w:space="0" w:color="000000"/>
            </w:tcBorders>
          </w:tcPr>
          <w:p w14:paraId="22AF21E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3B400C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B8E505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3DAD247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365C198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064B5FE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14A9F17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56A02017"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3FC49495" w14:textId="77777777" w:rsidTr="00A10F1B">
        <w:trPr>
          <w:trHeight w:val="517"/>
        </w:trPr>
        <w:tc>
          <w:tcPr>
            <w:tcW w:w="994" w:type="dxa"/>
            <w:vMerge/>
            <w:tcBorders>
              <w:top w:val="nil"/>
              <w:left w:val="single" w:sz="4" w:space="0" w:color="000000"/>
              <w:bottom w:val="single" w:sz="4" w:space="0" w:color="000000"/>
              <w:right w:val="single" w:sz="4" w:space="0" w:color="000000"/>
            </w:tcBorders>
          </w:tcPr>
          <w:p w14:paraId="78C05364"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054C1779"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Dividends to equity</w:t>
            </w:r>
          </w:p>
          <w:p w14:paraId="532D1F0C"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Holders</w:t>
            </w:r>
          </w:p>
        </w:tc>
        <w:tc>
          <w:tcPr>
            <w:tcW w:w="920" w:type="dxa"/>
            <w:tcBorders>
              <w:top w:val="single" w:sz="4" w:space="0" w:color="000000"/>
              <w:left w:val="single" w:sz="4" w:space="0" w:color="000000"/>
              <w:bottom w:val="single" w:sz="4" w:space="0" w:color="000000"/>
              <w:right w:val="single" w:sz="4" w:space="0" w:color="000000"/>
            </w:tcBorders>
          </w:tcPr>
          <w:p w14:paraId="050D020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5F12906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663A36B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625254B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0B88AD7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1573CF4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16E2B15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11BAA12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3EA7EA95" w14:textId="77777777" w:rsidTr="00A10F1B">
        <w:trPr>
          <w:trHeight w:val="516"/>
        </w:trPr>
        <w:tc>
          <w:tcPr>
            <w:tcW w:w="994" w:type="dxa"/>
            <w:vMerge/>
            <w:tcBorders>
              <w:top w:val="nil"/>
              <w:left w:val="single" w:sz="4" w:space="0" w:color="000000"/>
              <w:bottom w:val="single" w:sz="4" w:space="0" w:color="000000"/>
              <w:right w:val="single" w:sz="4" w:space="0" w:color="000000"/>
            </w:tcBorders>
          </w:tcPr>
          <w:p w14:paraId="7384DBF0"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4AF66EC9"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Tax on distributable</w:t>
            </w:r>
          </w:p>
          <w:p w14:paraId="6B0504BC"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Profits</w:t>
            </w:r>
          </w:p>
        </w:tc>
        <w:tc>
          <w:tcPr>
            <w:tcW w:w="920" w:type="dxa"/>
            <w:tcBorders>
              <w:top w:val="single" w:sz="4" w:space="0" w:color="000000"/>
              <w:left w:val="single" w:sz="4" w:space="0" w:color="000000"/>
              <w:bottom w:val="single" w:sz="4" w:space="0" w:color="000000"/>
              <w:right w:val="single" w:sz="4" w:space="0" w:color="000000"/>
            </w:tcBorders>
          </w:tcPr>
          <w:p w14:paraId="3A9399D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B814BD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3A4700D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50F84FD6"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611B97C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7A99F79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7FBB6CC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544A3A3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40C78006" w14:textId="77777777" w:rsidTr="00A10F1B">
        <w:trPr>
          <w:trHeight w:val="518"/>
        </w:trPr>
        <w:tc>
          <w:tcPr>
            <w:tcW w:w="994" w:type="dxa"/>
            <w:vMerge/>
            <w:tcBorders>
              <w:top w:val="nil"/>
              <w:left w:val="single" w:sz="4" w:space="0" w:color="000000"/>
              <w:bottom w:val="single" w:sz="4" w:space="0" w:color="000000"/>
              <w:right w:val="single" w:sz="4" w:space="0" w:color="000000"/>
            </w:tcBorders>
          </w:tcPr>
          <w:p w14:paraId="4ADF1C1D" w14:textId="77777777" w:rsidR="0099442F" w:rsidRPr="006D2651" w:rsidRDefault="0099442F" w:rsidP="00A10F1B">
            <w:pPr>
              <w:kinsoku w:val="0"/>
              <w:overflowPunct w:val="0"/>
              <w:autoSpaceDE w:val="0"/>
              <w:autoSpaceDN w:val="0"/>
              <w:adjustRightInd w:val="0"/>
              <w:spacing w:after="3"/>
              <w:ind w:right="1665"/>
              <w:jc w:val="right"/>
              <w:rPr>
                <w:rFonts w:ascii="Times New Roman" w:eastAsiaTheme="minorHAnsi" w:hAnsi="Times New Roman"/>
                <w:b/>
                <w:bCs/>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6C465109"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Others (please</w:t>
            </w:r>
          </w:p>
          <w:p w14:paraId="609FB191"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specify)</w:t>
            </w:r>
          </w:p>
        </w:tc>
        <w:tc>
          <w:tcPr>
            <w:tcW w:w="920" w:type="dxa"/>
            <w:tcBorders>
              <w:top w:val="single" w:sz="4" w:space="0" w:color="000000"/>
              <w:left w:val="single" w:sz="4" w:space="0" w:color="000000"/>
              <w:bottom w:val="single" w:sz="4" w:space="0" w:color="000000"/>
              <w:right w:val="single" w:sz="4" w:space="0" w:color="000000"/>
            </w:tcBorders>
          </w:tcPr>
          <w:p w14:paraId="696BE5B5"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B584F6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35EA3B6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75F54E9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5ED583F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4035B8D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6801A6F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2270144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6ABF5BD9" w14:textId="77777777" w:rsidTr="00A10F1B">
        <w:trPr>
          <w:trHeight w:val="261"/>
        </w:trPr>
        <w:tc>
          <w:tcPr>
            <w:tcW w:w="994" w:type="dxa"/>
            <w:tcBorders>
              <w:top w:val="single" w:sz="4" w:space="0" w:color="000000"/>
              <w:left w:val="single" w:sz="4" w:space="0" w:color="000000"/>
              <w:bottom w:val="single" w:sz="4" w:space="0" w:color="000000"/>
              <w:right w:val="single" w:sz="4" w:space="0" w:color="000000"/>
            </w:tcBorders>
          </w:tcPr>
          <w:p w14:paraId="40874CE8"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146" w:type="dxa"/>
            <w:tcBorders>
              <w:top w:val="single" w:sz="4" w:space="0" w:color="000000"/>
              <w:left w:val="single" w:sz="4" w:space="0" w:color="000000"/>
              <w:bottom w:val="single" w:sz="4" w:space="0" w:color="000000"/>
              <w:right w:val="single" w:sz="4" w:space="0" w:color="000000"/>
            </w:tcBorders>
          </w:tcPr>
          <w:p w14:paraId="219E3B3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20" w:type="dxa"/>
            <w:tcBorders>
              <w:top w:val="single" w:sz="4" w:space="0" w:color="000000"/>
              <w:left w:val="single" w:sz="4" w:space="0" w:color="000000"/>
              <w:bottom w:val="single" w:sz="4" w:space="0" w:color="000000"/>
              <w:right w:val="single" w:sz="4" w:space="0" w:color="000000"/>
            </w:tcBorders>
          </w:tcPr>
          <w:p w14:paraId="4E53A6F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A3A4692"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8B2494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5AB0D99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4D99532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0E18917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5F91F4F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7D70C84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360321D2" w14:textId="77777777" w:rsidTr="00A10F1B">
        <w:trPr>
          <w:trHeight w:val="518"/>
        </w:trPr>
        <w:tc>
          <w:tcPr>
            <w:tcW w:w="994" w:type="dxa"/>
            <w:tcBorders>
              <w:top w:val="single" w:sz="4" w:space="0" w:color="000000"/>
              <w:left w:val="single" w:sz="4" w:space="0" w:color="000000"/>
              <w:bottom w:val="single" w:sz="4" w:space="0" w:color="000000"/>
              <w:right w:val="single" w:sz="4" w:space="0" w:color="000000"/>
            </w:tcBorders>
          </w:tcPr>
          <w:p w14:paraId="4A3385F3" w14:textId="77777777" w:rsidR="0099442F" w:rsidRPr="006D2651" w:rsidRDefault="0099442F" w:rsidP="00A10F1B">
            <w:pPr>
              <w:kinsoku w:val="0"/>
              <w:overflowPunct w:val="0"/>
              <w:autoSpaceDE w:val="0"/>
              <w:autoSpaceDN w:val="0"/>
              <w:adjustRightInd w:val="0"/>
              <w:spacing w:before="1" w:after="0"/>
              <w:ind w:left="6"/>
              <w:jc w:val="center"/>
              <w:rPr>
                <w:rFonts w:ascii="Times New Roman" w:eastAsiaTheme="minorHAnsi" w:hAnsi="Times New Roman"/>
                <w:b/>
                <w:bCs/>
                <w:w w:val="102"/>
                <w:sz w:val="20"/>
                <w:szCs w:val="20"/>
              </w:rPr>
            </w:pPr>
            <w:r w:rsidRPr="006D2651">
              <w:rPr>
                <w:rFonts w:ascii="Times New Roman" w:eastAsiaTheme="minorHAnsi" w:hAnsi="Times New Roman"/>
                <w:b/>
                <w:bCs/>
                <w:w w:val="102"/>
                <w:sz w:val="20"/>
                <w:szCs w:val="20"/>
              </w:rPr>
              <w:t>3</w:t>
            </w:r>
          </w:p>
        </w:tc>
        <w:tc>
          <w:tcPr>
            <w:tcW w:w="2146" w:type="dxa"/>
            <w:tcBorders>
              <w:top w:val="single" w:sz="4" w:space="0" w:color="000000"/>
              <w:left w:val="single" w:sz="4" w:space="0" w:color="000000"/>
              <w:bottom w:val="single" w:sz="4" w:space="0" w:color="000000"/>
              <w:right w:val="single" w:sz="4" w:space="0" w:color="000000"/>
            </w:tcBorders>
          </w:tcPr>
          <w:p w14:paraId="35A68741" w14:textId="77777777" w:rsidR="0099442F" w:rsidRPr="006D2651" w:rsidRDefault="0099442F" w:rsidP="00A10F1B">
            <w:pPr>
              <w:kinsoku w:val="0"/>
              <w:overflowPunct w:val="0"/>
              <w:autoSpaceDE w:val="0"/>
              <w:autoSpaceDN w:val="0"/>
              <w:adjustRightInd w:val="0"/>
              <w:spacing w:before="1" w:after="0"/>
              <w:ind w:left="100"/>
              <w:rPr>
                <w:rFonts w:ascii="Times New Roman" w:eastAsiaTheme="minorHAnsi" w:hAnsi="Times New Roman"/>
                <w:b/>
                <w:bCs/>
                <w:sz w:val="20"/>
                <w:szCs w:val="20"/>
              </w:rPr>
            </w:pPr>
            <w:r w:rsidRPr="006D2651">
              <w:rPr>
                <w:rFonts w:ascii="Times New Roman" w:eastAsiaTheme="minorHAnsi" w:hAnsi="Times New Roman"/>
                <w:b/>
                <w:bCs/>
                <w:sz w:val="20"/>
                <w:szCs w:val="20"/>
              </w:rPr>
              <w:t>Cash surplus or</w:t>
            </w:r>
          </w:p>
          <w:p w14:paraId="509FA97F" w14:textId="77777777" w:rsidR="0099442F" w:rsidRPr="006D2651" w:rsidRDefault="0099442F" w:rsidP="00A10F1B">
            <w:pPr>
              <w:kinsoku w:val="0"/>
              <w:overflowPunct w:val="0"/>
              <w:autoSpaceDE w:val="0"/>
              <w:autoSpaceDN w:val="0"/>
              <w:adjustRightInd w:val="0"/>
              <w:spacing w:before="8" w:after="0"/>
              <w:ind w:left="100"/>
              <w:rPr>
                <w:rFonts w:ascii="Times New Roman" w:eastAsiaTheme="minorHAnsi" w:hAnsi="Times New Roman"/>
                <w:b/>
                <w:bCs/>
                <w:sz w:val="20"/>
                <w:szCs w:val="20"/>
              </w:rPr>
            </w:pPr>
            <w:r w:rsidRPr="006D2651">
              <w:rPr>
                <w:rFonts w:ascii="Times New Roman" w:eastAsiaTheme="minorHAnsi" w:hAnsi="Times New Roman"/>
                <w:b/>
                <w:bCs/>
                <w:sz w:val="20"/>
                <w:szCs w:val="20"/>
              </w:rPr>
              <w:t>(deficit)</w:t>
            </w:r>
          </w:p>
        </w:tc>
        <w:tc>
          <w:tcPr>
            <w:tcW w:w="920" w:type="dxa"/>
            <w:tcBorders>
              <w:top w:val="single" w:sz="4" w:space="0" w:color="000000"/>
              <w:left w:val="single" w:sz="4" w:space="0" w:color="000000"/>
              <w:bottom w:val="single" w:sz="4" w:space="0" w:color="000000"/>
              <w:right w:val="single" w:sz="4" w:space="0" w:color="000000"/>
            </w:tcBorders>
          </w:tcPr>
          <w:p w14:paraId="183641A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4819FA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BD77AE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0493B03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30DCDB58"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23D787E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1E846C1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5933DF1C"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7A1A8D1E" w14:textId="77777777" w:rsidTr="00A10F1B">
        <w:trPr>
          <w:trHeight w:val="517"/>
        </w:trPr>
        <w:tc>
          <w:tcPr>
            <w:tcW w:w="994" w:type="dxa"/>
            <w:tcBorders>
              <w:top w:val="single" w:sz="4" w:space="0" w:color="000000"/>
              <w:left w:val="single" w:sz="4" w:space="0" w:color="000000"/>
              <w:bottom w:val="single" w:sz="4" w:space="0" w:color="000000"/>
              <w:right w:val="single" w:sz="4" w:space="0" w:color="000000"/>
            </w:tcBorders>
          </w:tcPr>
          <w:p w14:paraId="3135374D" w14:textId="77777777" w:rsidR="0099442F" w:rsidRPr="006D2651" w:rsidRDefault="0099442F" w:rsidP="00A10F1B">
            <w:pPr>
              <w:kinsoku w:val="0"/>
              <w:overflowPunct w:val="0"/>
              <w:autoSpaceDE w:val="0"/>
              <w:autoSpaceDN w:val="0"/>
              <w:adjustRightInd w:val="0"/>
              <w:spacing w:after="0"/>
              <w:ind w:left="8"/>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A</w:t>
            </w:r>
          </w:p>
        </w:tc>
        <w:tc>
          <w:tcPr>
            <w:tcW w:w="2146" w:type="dxa"/>
            <w:tcBorders>
              <w:top w:val="single" w:sz="4" w:space="0" w:color="000000"/>
              <w:left w:val="single" w:sz="4" w:space="0" w:color="000000"/>
              <w:bottom w:val="single" w:sz="4" w:space="0" w:color="000000"/>
              <w:right w:val="single" w:sz="4" w:space="0" w:color="000000"/>
            </w:tcBorders>
          </w:tcPr>
          <w:p w14:paraId="61975FC9" w14:textId="77777777" w:rsidR="0099442F" w:rsidRPr="006D2651" w:rsidRDefault="0099442F" w:rsidP="00A10F1B">
            <w:pPr>
              <w:kinsoku w:val="0"/>
              <w:overflowPunct w:val="0"/>
              <w:autoSpaceDE w:val="0"/>
              <w:autoSpaceDN w:val="0"/>
              <w:adjustRightInd w:val="0"/>
              <w:spacing w:after="0"/>
              <w:ind w:left="99"/>
              <w:rPr>
                <w:rFonts w:ascii="Times New Roman" w:eastAsiaTheme="minorHAnsi" w:hAnsi="Times New Roman"/>
                <w:sz w:val="20"/>
                <w:szCs w:val="20"/>
              </w:rPr>
            </w:pPr>
            <w:r w:rsidRPr="006D2651">
              <w:rPr>
                <w:rFonts w:ascii="Times New Roman" w:eastAsiaTheme="minorHAnsi" w:hAnsi="Times New Roman"/>
                <w:sz w:val="20"/>
                <w:szCs w:val="20"/>
              </w:rPr>
              <w:t>Opening cash</w:t>
            </w:r>
          </w:p>
          <w:p w14:paraId="0742818F" w14:textId="77777777" w:rsidR="0099442F" w:rsidRPr="006D2651" w:rsidRDefault="0099442F" w:rsidP="00A10F1B">
            <w:pPr>
              <w:kinsoku w:val="0"/>
              <w:overflowPunct w:val="0"/>
              <w:autoSpaceDE w:val="0"/>
              <w:autoSpaceDN w:val="0"/>
              <w:adjustRightInd w:val="0"/>
              <w:spacing w:before="6" w:after="0"/>
              <w:ind w:left="100"/>
              <w:rPr>
                <w:rFonts w:ascii="Times New Roman" w:eastAsiaTheme="minorHAnsi" w:hAnsi="Times New Roman"/>
                <w:sz w:val="20"/>
                <w:szCs w:val="20"/>
              </w:rPr>
            </w:pPr>
            <w:r w:rsidRPr="006D2651">
              <w:rPr>
                <w:rFonts w:ascii="Times New Roman" w:eastAsiaTheme="minorHAnsi" w:hAnsi="Times New Roman"/>
                <w:sz w:val="20"/>
                <w:szCs w:val="20"/>
              </w:rPr>
              <w:t>Balance</w:t>
            </w:r>
          </w:p>
        </w:tc>
        <w:tc>
          <w:tcPr>
            <w:tcW w:w="920" w:type="dxa"/>
            <w:tcBorders>
              <w:top w:val="single" w:sz="4" w:space="0" w:color="000000"/>
              <w:left w:val="single" w:sz="4" w:space="0" w:color="000000"/>
              <w:bottom w:val="single" w:sz="4" w:space="0" w:color="000000"/>
              <w:right w:val="single" w:sz="4" w:space="0" w:color="000000"/>
            </w:tcBorders>
          </w:tcPr>
          <w:p w14:paraId="1D70EEC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084A84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4C39564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4EB0E15A"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72C20C9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1968EC79"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694490A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66F624B"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r w:rsidR="0099442F" w:rsidRPr="006D2651" w14:paraId="71433815" w14:textId="77777777" w:rsidTr="00A10F1B">
        <w:trPr>
          <w:trHeight w:val="258"/>
        </w:trPr>
        <w:tc>
          <w:tcPr>
            <w:tcW w:w="994" w:type="dxa"/>
            <w:tcBorders>
              <w:top w:val="single" w:sz="4" w:space="0" w:color="000000"/>
              <w:left w:val="single" w:sz="4" w:space="0" w:color="000000"/>
              <w:bottom w:val="single" w:sz="4" w:space="0" w:color="000000"/>
              <w:right w:val="single" w:sz="4" w:space="0" w:color="000000"/>
            </w:tcBorders>
          </w:tcPr>
          <w:p w14:paraId="67A4A8BD" w14:textId="77777777" w:rsidR="0099442F" w:rsidRPr="006D2651" w:rsidRDefault="0099442F" w:rsidP="00A10F1B">
            <w:pPr>
              <w:kinsoku w:val="0"/>
              <w:overflowPunct w:val="0"/>
              <w:autoSpaceDE w:val="0"/>
              <w:autoSpaceDN w:val="0"/>
              <w:adjustRightInd w:val="0"/>
              <w:spacing w:after="0"/>
              <w:ind w:left="5"/>
              <w:jc w:val="center"/>
              <w:rPr>
                <w:rFonts w:ascii="Times New Roman" w:eastAsiaTheme="minorHAnsi" w:hAnsi="Times New Roman"/>
                <w:w w:val="102"/>
                <w:sz w:val="20"/>
                <w:szCs w:val="20"/>
              </w:rPr>
            </w:pPr>
            <w:r w:rsidRPr="006D2651">
              <w:rPr>
                <w:rFonts w:ascii="Times New Roman" w:eastAsiaTheme="minorHAnsi" w:hAnsi="Times New Roman"/>
                <w:w w:val="102"/>
                <w:sz w:val="20"/>
                <w:szCs w:val="20"/>
              </w:rPr>
              <w:t>B</w:t>
            </w:r>
          </w:p>
        </w:tc>
        <w:tc>
          <w:tcPr>
            <w:tcW w:w="2146" w:type="dxa"/>
            <w:tcBorders>
              <w:top w:val="single" w:sz="4" w:space="0" w:color="000000"/>
              <w:left w:val="single" w:sz="4" w:space="0" w:color="000000"/>
              <w:bottom w:val="single" w:sz="4" w:space="0" w:color="000000"/>
              <w:right w:val="single" w:sz="4" w:space="0" w:color="000000"/>
            </w:tcBorders>
          </w:tcPr>
          <w:p w14:paraId="32EA49C8" w14:textId="77777777" w:rsidR="0099442F" w:rsidRPr="006D2651" w:rsidRDefault="0099442F" w:rsidP="00A10F1B">
            <w:pPr>
              <w:kinsoku w:val="0"/>
              <w:overflowPunct w:val="0"/>
              <w:autoSpaceDE w:val="0"/>
              <w:autoSpaceDN w:val="0"/>
              <w:adjustRightInd w:val="0"/>
              <w:spacing w:after="0"/>
              <w:ind w:left="100"/>
              <w:rPr>
                <w:rFonts w:ascii="Times New Roman" w:eastAsiaTheme="minorHAnsi" w:hAnsi="Times New Roman"/>
                <w:sz w:val="20"/>
                <w:szCs w:val="20"/>
              </w:rPr>
            </w:pPr>
            <w:r w:rsidRPr="006D2651">
              <w:rPr>
                <w:rFonts w:ascii="Times New Roman" w:eastAsiaTheme="minorHAnsi" w:hAnsi="Times New Roman"/>
                <w:sz w:val="20"/>
                <w:szCs w:val="20"/>
              </w:rPr>
              <w:t>Closing cash balance</w:t>
            </w:r>
          </w:p>
        </w:tc>
        <w:tc>
          <w:tcPr>
            <w:tcW w:w="920" w:type="dxa"/>
            <w:tcBorders>
              <w:top w:val="single" w:sz="4" w:space="0" w:color="000000"/>
              <w:left w:val="single" w:sz="4" w:space="0" w:color="000000"/>
              <w:bottom w:val="single" w:sz="4" w:space="0" w:color="000000"/>
              <w:right w:val="single" w:sz="4" w:space="0" w:color="000000"/>
            </w:tcBorders>
          </w:tcPr>
          <w:p w14:paraId="611D3F7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A17BE53"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3BED3BB0"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3" w:type="dxa"/>
            <w:tcBorders>
              <w:top w:val="single" w:sz="4" w:space="0" w:color="000000"/>
              <w:left w:val="single" w:sz="4" w:space="0" w:color="000000"/>
              <w:bottom w:val="single" w:sz="4" w:space="0" w:color="000000"/>
              <w:right w:val="single" w:sz="4" w:space="0" w:color="000000"/>
            </w:tcBorders>
          </w:tcPr>
          <w:p w14:paraId="171797FF"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5" w:type="dxa"/>
            <w:tcBorders>
              <w:top w:val="single" w:sz="4" w:space="0" w:color="000000"/>
              <w:left w:val="single" w:sz="4" w:space="0" w:color="000000"/>
              <w:bottom w:val="single" w:sz="4" w:space="0" w:color="000000"/>
              <w:right w:val="single" w:sz="4" w:space="0" w:color="000000"/>
            </w:tcBorders>
          </w:tcPr>
          <w:p w14:paraId="7F2EC8EE"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31" w:type="dxa"/>
            <w:tcBorders>
              <w:top w:val="single" w:sz="4" w:space="0" w:color="000000"/>
              <w:left w:val="single" w:sz="4" w:space="0" w:color="000000"/>
              <w:bottom w:val="single" w:sz="4" w:space="0" w:color="000000"/>
              <w:right w:val="single" w:sz="4" w:space="0" w:color="000000"/>
            </w:tcBorders>
          </w:tcPr>
          <w:p w14:paraId="40DF549D"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221" w:type="dxa"/>
            <w:tcBorders>
              <w:top w:val="single" w:sz="4" w:space="0" w:color="000000"/>
              <w:left w:val="single" w:sz="4" w:space="0" w:color="000000"/>
              <w:bottom w:val="single" w:sz="4" w:space="0" w:color="000000"/>
              <w:right w:val="single" w:sz="4" w:space="0" w:color="000000"/>
            </w:tcBorders>
          </w:tcPr>
          <w:p w14:paraId="52BDD224"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57339761" w14:textId="77777777" w:rsidR="0099442F" w:rsidRPr="006D2651" w:rsidRDefault="0099442F" w:rsidP="00A10F1B">
            <w:pPr>
              <w:kinsoku w:val="0"/>
              <w:overflowPunct w:val="0"/>
              <w:autoSpaceDE w:val="0"/>
              <w:autoSpaceDN w:val="0"/>
              <w:adjustRightInd w:val="0"/>
              <w:spacing w:after="0"/>
              <w:rPr>
                <w:rFonts w:ascii="Times New Roman" w:eastAsiaTheme="minorHAnsi" w:hAnsi="Times New Roman"/>
                <w:sz w:val="20"/>
                <w:szCs w:val="20"/>
              </w:rPr>
            </w:pPr>
          </w:p>
        </w:tc>
      </w:tr>
    </w:tbl>
    <w:p w14:paraId="3ACB6149" w14:textId="77777777" w:rsidR="0099442F" w:rsidRPr="006D2651" w:rsidRDefault="0099442F" w:rsidP="0099442F">
      <w:pPr>
        <w:rPr>
          <w:rFonts w:ascii="Times New Roman" w:hAnsi="Times New Roman"/>
          <w:b/>
          <w:bCs/>
          <w:sz w:val="20"/>
          <w:szCs w:val="20"/>
        </w:rPr>
      </w:pPr>
      <w:r w:rsidRPr="006D2651">
        <w:rPr>
          <w:rFonts w:ascii="Times New Roman" w:hAnsi="Times New Roman"/>
          <w:b/>
          <w:bCs/>
          <w:sz w:val="20"/>
          <w:szCs w:val="20"/>
        </w:rPr>
        <w:t>(*) Redemption details to be given.</w:t>
      </w:r>
    </w:p>
    <w:p w14:paraId="7A7FF930" w14:textId="77777777" w:rsidR="00C90AAE" w:rsidRPr="006D2651" w:rsidRDefault="00C90AAE" w:rsidP="00C90AAE">
      <w:pPr>
        <w:pStyle w:val="NormalWeb"/>
        <w:spacing w:before="0" w:beforeAutospacing="0" w:after="0" w:afterAutospacing="0" w:line="276" w:lineRule="auto"/>
        <w:jc w:val="center"/>
        <w:rPr>
          <w:rStyle w:val="Strong"/>
          <w:sz w:val="20"/>
          <w:szCs w:val="20"/>
        </w:rPr>
      </w:pPr>
      <w:r w:rsidRPr="006D2651">
        <w:rPr>
          <w:rStyle w:val="Strong"/>
          <w:sz w:val="20"/>
          <w:szCs w:val="20"/>
        </w:rPr>
        <w:t>Attachment 1 (</w:t>
      </w:r>
      <w:proofErr w:type="spellStart"/>
      <w:r w:rsidRPr="006D2651">
        <w:rPr>
          <w:rStyle w:val="Strong"/>
          <w:sz w:val="20"/>
          <w:szCs w:val="20"/>
        </w:rPr>
        <w:t>i</w:t>
      </w:r>
      <w:proofErr w:type="spellEnd"/>
      <w:r w:rsidRPr="006D2651">
        <w:rPr>
          <w:rStyle w:val="Strong"/>
          <w:sz w:val="20"/>
          <w:szCs w:val="20"/>
        </w:rPr>
        <w:t>)</w:t>
      </w:r>
    </w:p>
    <w:p w14:paraId="1A87AFDC" w14:textId="77777777" w:rsidR="00C90AAE" w:rsidRPr="006D2651" w:rsidRDefault="00C90AAE" w:rsidP="00C90AAE">
      <w:pPr>
        <w:pStyle w:val="NormalWeb"/>
        <w:spacing w:before="0" w:beforeAutospacing="0" w:after="0" w:afterAutospacing="0" w:line="276" w:lineRule="auto"/>
        <w:jc w:val="center"/>
        <w:rPr>
          <w:rStyle w:val="Strong"/>
          <w:sz w:val="20"/>
          <w:szCs w:val="20"/>
        </w:rPr>
      </w:pPr>
      <w:r w:rsidRPr="006D2651">
        <w:rPr>
          <w:rStyle w:val="Strong"/>
          <w:sz w:val="20"/>
          <w:szCs w:val="20"/>
        </w:rPr>
        <w:t>Balance Sheet$</w:t>
      </w:r>
    </w:p>
    <w:p w14:paraId="6272437E" w14:textId="77777777" w:rsidR="00C90AAE" w:rsidRPr="006D2651" w:rsidRDefault="00C90AAE" w:rsidP="00C90AAE">
      <w:pPr>
        <w:pStyle w:val="BodyText"/>
        <w:kinsoku w:val="0"/>
        <w:overflowPunct w:val="0"/>
        <w:spacing w:line="276" w:lineRule="auto"/>
        <w:rPr>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2674"/>
        <w:gridCol w:w="834"/>
        <w:gridCol w:w="949"/>
        <w:gridCol w:w="932"/>
        <w:gridCol w:w="934"/>
        <w:gridCol w:w="930"/>
        <w:gridCol w:w="932"/>
        <w:gridCol w:w="930"/>
        <w:gridCol w:w="800"/>
      </w:tblGrid>
      <w:tr w:rsidR="00C90AAE" w:rsidRPr="006D2651" w14:paraId="492D7F10" w14:textId="77777777" w:rsidTr="00A10F1B">
        <w:trPr>
          <w:trHeight w:val="485"/>
        </w:trPr>
        <w:tc>
          <w:tcPr>
            <w:tcW w:w="2674" w:type="dxa"/>
            <w:tcBorders>
              <w:top w:val="single" w:sz="4" w:space="0" w:color="000000"/>
              <w:left w:val="single" w:sz="4" w:space="0" w:color="000000"/>
              <w:bottom w:val="single" w:sz="4" w:space="0" w:color="000000"/>
              <w:right w:val="single" w:sz="4" w:space="0" w:color="000000"/>
            </w:tcBorders>
          </w:tcPr>
          <w:p w14:paraId="549417EE" w14:textId="77777777" w:rsidR="00C90AAE" w:rsidRPr="006D2651" w:rsidRDefault="00C90AAE" w:rsidP="00A10F1B">
            <w:pPr>
              <w:pStyle w:val="TableParagraph"/>
              <w:kinsoku w:val="0"/>
              <w:overflowPunct w:val="0"/>
              <w:spacing w:line="276" w:lineRule="auto"/>
              <w:rPr>
                <w:sz w:val="20"/>
                <w:szCs w:val="20"/>
              </w:rPr>
            </w:pPr>
          </w:p>
        </w:tc>
        <w:tc>
          <w:tcPr>
            <w:tcW w:w="2715" w:type="dxa"/>
            <w:gridSpan w:val="3"/>
            <w:tcBorders>
              <w:top w:val="single" w:sz="4" w:space="0" w:color="000000"/>
              <w:left w:val="single" w:sz="4" w:space="0" w:color="000000"/>
              <w:bottom w:val="single" w:sz="4" w:space="0" w:color="000000"/>
              <w:right w:val="single" w:sz="4" w:space="0" w:color="000000"/>
            </w:tcBorders>
          </w:tcPr>
          <w:p w14:paraId="5066F986" w14:textId="77777777" w:rsidR="00C90AAE" w:rsidRPr="006D2651" w:rsidRDefault="00C90AAE" w:rsidP="00A10F1B">
            <w:pPr>
              <w:pStyle w:val="TableParagraph"/>
              <w:kinsoku w:val="0"/>
              <w:overflowPunct w:val="0"/>
              <w:spacing w:before="115" w:line="276" w:lineRule="auto"/>
              <w:ind w:left="383"/>
              <w:rPr>
                <w:b/>
                <w:bCs/>
                <w:sz w:val="20"/>
                <w:szCs w:val="20"/>
              </w:rPr>
            </w:pPr>
            <w:r w:rsidRPr="006D2651">
              <w:rPr>
                <w:b/>
                <w:bCs/>
                <w:sz w:val="20"/>
                <w:szCs w:val="20"/>
              </w:rPr>
              <w:t>Construction period</w:t>
            </w:r>
          </w:p>
        </w:tc>
        <w:tc>
          <w:tcPr>
            <w:tcW w:w="4526" w:type="dxa"/>
            <w:gridSpan w:val="5"/>
            <w:tcBorders>
              <w:top w:val="single" w:sz="4" w:space="0" w:color="000000"/>
              <w:left w:val="single" w:sz="4" w:space="0" w:color="000000"/>
              <w:bottom w:val="single" w:sz="4" w:space="0" w:color="000000"/>
              <w:right w:val="single" w:sz="4" w:space="0" w:color="000000"/>
            </w:tcBorders>
            <w:vAlign w:val="center"/>
          </w:tcPr>
          <w:p w14:paraId="197F7162" w14:textId="77777777" w:rsidR="00C90AAE" w:rsidRPr="006D2651" w:rsidRDefault="00C90AAE" w:rsidP="00A10F1B">
            <w:pPr>
              <w:pStyle w:val="TableParagraph"/>
              <w:kinsoku w:val="0"/>
              <w:overflowPunct w:val="0"/>
              <w:spacing w:before="4" w:line="276" w:lineRule="auto"/>
              <w:ind w:left="101"/>
              <w:jc w:val="center"/>
              <w:rPr>
                <w:b/>
                <w:bCs/>
                <w:sz w:val="20"/>
                <w:szCs w:val="20"/>
              </w:rPr>
            </w:pPr>
            <w:r w:rsidRPr="006D2651">
              <w:rPr>
                <w:b/>
                <w:bCs/>
                <w:sz w:val="20"/>
                <w:szCs w:val="20"/>
              </w:rPr>
              <w:t>Economic Life</w:t>
            </w:r>
          </w:p>
        </w:tc>
      </w:tr>
      <w:tr w:rsidR="00C90AAE" w:rsidRPr="006D2651" w14:paraId="1168A34E" w14:textId="77777777" w:rsidTr="00A10F1B">
        <w:trPr>
          <w:trHeight w:val="333"/>
        </w:trPr>
        <w:tc>
          <w:tcPr>
            <w:tcW w:w="2674" w:type="dxa"/>
            <w:tcBorders>
              <w:top w:val="single" w:sz="4" w:space="0" w:color="000000"/>
              <w:left w:val="single" w:sz="4" w:space="0" w:color="000000"/>
              <w:bottom w:val="single" w:sz="4" w:space="0" w:color="000000"/>
              <w:right w:val="single" w:sz="4" w:space="0" w:color="000000"/>
            </w:tcBorders>
          </w:tcPr>
          <w:p w14:paraId="71706712" w14:textId="77777777" w:rsidR="00C90AAE" w:rsidRPr="006D2651" w:rsidRDefault="00C90AAE" w:rsidP="00A10F1B">
            <w:pPr>
              <w:pStyle w:val="TableParagraph"/>
              <w:kinsoku w:val="0"/>
              <w:overflowPunct w:val="0"/>
              <w:spacing w:before="3" w:line="276" w:lineRule="auto"/>
              <w:ind w:left="100"/>
              <w:rPr>
                <w:b/>
                <w:bCs/>
                <w:sz w:val="20"/>
                <w:szCs w:val="20"/>
              </w:rPr>
            </w:pPr>
            <w:r w:rsidRPr="006D2651">
              <w:rPr>
                <w:b/>
                <w:bCs/>
                <w:sz w:val="20"/>
                <w:szCs w:val="20"/>
              </w:rPr>
              <w:t>Year</w:t>
            </w:r>
          </w:p>
        </w:tc>
        <w:tc>
          <w:tcPr>
            <w:tcW w:w="834" w:type="dxa"/>
            <w:tcBorders>
              <w:top w:val="single" w:sz="4" w:space="0" w:color="000000"/>
              <w:left w:val="single" w:sz="4" w:space="0" w:color="000000"/>
              <w:bottom w:val="single" w:sz="4" w:space="0" w:color="000000"/>
              <w:right w:val="single" w:sz="4" w:space="0" w:color="000000"/>
            </w:tcBorders>
          </w:tcPr>
          <w:p w14:paraId="002F0AB7" w14:textId="77777777" w:rsidR="00C90AAE" w:rsidRPr="006D2651" w:rsidRDefault="00C90AAE" w:rsidP="00A10F1B">
            <w:pPr>
              <w:pStyle w:val="TableParagraph"/>
              <w:kinsoku w:val="0"/>
              <w:overflowPunct w:val="0"/>
              <w:spacing w:before="32" w:line="276" w:lineRule="auto"/>
              <w:ind w:left="112"/>
              <w:rPr>
                <w:sz w:val="20"/>
                <w:szCs w:val="20"/>
              </w:rPr>
            </w:pPr>
            <w:r w:rsidRPr="006D2651">
              <w:rPr>
                <w:sz w:val="20"/>
                <w:szCs w:val="20"/>
              </w:rPr>
              <w:t>Year 3</w:t>
            </w:r>
          </w:p>
        </w:tc>
        <w:tc>
          <w:tcPr>
            <w:tcW w:w="949" w:type="dxa"/>
            <w:tcBorders>
              <w:top w:val="single" w:sz="4" w:space="0" w:color="000000"/>
              <w:left w:val="single" w:sz="4" w:space="0" w:color="000000"/>
              <w:bottom w:val="single" w:sz="4" w:space="0" w:color="000000"/>
              <w:right w:val="single" w:sz="4" w:space="0" w:color="000000"/>
            </w:tcBorders>
          </w:tcPr>
          <w:p w14:paraId="27BAB49F" w14:textId="77777777" w:rsidR="00C90AAE" w:rsidRPr="006D2651" w:rsidRDefault="00C90AAE" w:rsidP="00A10F1B">
            <w:pPr>
              <w:pStyle w:val="TableParagraph"/>
              <w:kinsoku w:val="0"/>
              <w:overflowPunct w:val="0"/>
              <w:spacing w:before="32" w:line="276" w:lineRule="auto"/>
              <w:ind w:left="170"/>
              <w:rPr>
                <w:sz w:val="20"/>
                <w:szCs w:val="20"/>
              </w:rPr>
            </w:pPr>
            <w:r w:rsidRPr="006D2651">
              <w:rPr>
                <w:sz w:val="20"/>
                <w:szCs w:val="20"/>
              </w:rPr>
              <w:t>Year 2</w:t>
            </w:r>
          </w:p>
        </w:tc>
        <w:tc>
          <w:tcPr>
            <w:tcW w:w="932" w:type="dxa"/>
            <w:tcBorders>
              <w:top w:val="single" w:sz="4" w:space="0" w:color="000000"/>
              <w:left w:val="single" w:sz="4" w:space="0" w:color="000000"/>
              <w:bottom w:val="single" w:sz="4" w:space="0" w:color="000000"/>
              <w:right w:val="single" w:sz="4" w:space="0" w:color="000000"/>
            </w:tcBorders>
          </w:tcPr>
          <w:p w14:paraId="40AFFCB3" w14:textId="77777777" w:rsidR="00C90AAE" w:rsidRPr="006D2651" w:rsidRDefault="00C90AAE" w:rsidP="00A10F1B">
            <w:pPr>
              <w:pStyle w:val="TableParagraph"/>
              <w:kinsoku w:val="0"/>
              <w:overflowPunct w:val="0"/>
              <w:spacing w:before="32" w:line="276" w:lineRule="auto"/>
              <w:ind w:left="161"/>
              <w:rPr>
                <w:sz w:val="20"/>
                <w:szCs w:val="20"/>
              </w:rPr>
            </w:pPr>
            <w:r w:rsidRPr="006D2651">
              <w:rPr>
                <w:sz w:val="20"/>
                <w:szCs w:val="20"/>
              </w:rPr>
              <w:t>Year 1</w:t>
            </w:r>
          </w:p>
        </w:tc>
        <w:tc>
          <w:tcPr>
            <w:tcW w:w="934" w:type="dxa"/>
            <w:tcBorders>
              <w:top w:val="single" w:sz="4" w:space="0" w:color="000000"/>
              <w:left w:val="single" w:sz="4" w:space="0" w:color="000000"/>
              <w:bottom w:val="single" w:sz="4" w:space="0" w:color="000000"/>
              <w:right w:val="single" w:sz="4" w:space="0" w:color="000000"/>
            </w:tcBorders>
          </w:tcPr>
          <w:p w14:paraId="3A7E2516" w14:textId="77777777" w:rsidR="00C90AAE" w:rsidRPr="006D2651" w:rsidRDefault="00C90AAE" w:rsidP="00A10F1B">
            <w:pPr>
              <w:pStyle w:val="TableParagraph"/>
              <w:kinsoku w:val="0"/>
              <w:overflowPunct w:val="0"/>
              <w:spacing w:before="32" w:line="276" w:lineRule="auto"/>
              <w:ind w:left="162"/>
              <w:rPr>
                <w:sz w:val="20"/>
                <w:szCs w:val="20"/>
              </w:rPr>
            </w:pPr>
            <w:r w:rsidRPr="006D2651">
              <w:rPr>
                <w:sz w:val="20"/>
                <w:szCs w:val="20"/>
              </w:rPr>
              <w:t>Year 1</w:t>
            </w:r>
          </w:p>
        </w:tc>
        <w:tc>
          <w:tcPr>
            <w:tcW w:w="930" w:type="dxa"/>
            <w:tcBorders>
              <w:top w:val="single" w:sz="4" w:space="0" w:color="000000"/>
              <w:left w:val="single" w:sz="4" w:space="0" w:color="000000"/>
              <w:bottom w:val="single" w:sz="4" w:space="0" w:color="000000"/>
              <w:right w:val="single" w:sz="4" w:space="0" w:color="000000"/>
            </w:tcBorders>
          </w:tcPr>
          <w:p w14:paraId="14619077" w14:textId="77777777" w:rsidR="00C90AAE" w:rsidRPr="006D2651" w:rsidRDefault="00C90AAE" w:rsidP="00A10F1B">
            <w:pPr>
              <w:pStyle w:val="TableParagraph"/>
              <w:kinsoku w:val="0"/>
              <w:overflowPunct w:val="0"/>
              <w:spacing w:before="32" w:line="276" w:lineRule="auto"/>
              <w:ind w:left="160"/>
              <w:rPr>
                <w:sz w:val="20"/>
                <w:szCs w:val="20"/>
              </w:rPr>
            </w:pPr>
            <w:r w:rsidRPr="006D2651">
              <w:rPr>
                <w:sz w:val="20"/>
                <w:szCs w:val="20"/>
              </w:rPr>
              <w:t>Year 2</w:t>
            </w:r>
          </w:p>
        </w:tc>
        <w:tc>
          <w:tcPr>
            <w:tcW w:w="932" w:type="dxa"/>
            <w:tcBorders>
              <w:top w:val="single" w:sz="4" w:space="0" w:color="000000"/>
              <w:left w:val="single" w:sz="4" w:space="0" w:color="000000"/>
              <w:bottom w:val="single" w:sz="4" w:space="0" w:color="000000"/>
              <w:right w:val="single" w:sz="4" w:space="0" w:color="000000"/>
            </w:tcBorders>
          </w:tcPr>
          <w:p w14:paraId="7DEFE60A" w14:textId="77777777" w:rsidR="00C90AAE" w:rsidRPr="006D2651" w:rsidRDefault="00C90AAE" w:rsidP="00A10F1B">
            <w:pPr>
              <w:pStyle w:val="TableParagraph"/>
              <w:kinsoku w:val="0"/>
              <w:overflowPunct w:val="0"/>
              <w:spacing w:before="32" w:line="276" w:lineRule="auto"/>
              <w:ind w:left="163"/>
              <w:rPr>
                <w:sz w:val="20"/>
                <w:szCs w:val="20"/>
              </w:rPr>
            </w:pPr>
            <w:r w:rsidRPr="006D2651">
              <w:rPr>
                <w:sz w:val="20"/>
                <w:szCs w:val="20"/>
              </w:rPr>
              <w:t>Year 3</w:t>
            </w:r>
          </w:p>
        </w:tc>
        <w:tc>
          <w:tcPr>
            <w:tcW w:w="930" w:type="dxa"/>
            <w:tcBorders>
              <w:top w:val="single" w:sz="4" w:space="0" w:color="000000"/>
              <w:left w:val="single" w:sz="4" w:space="0" w:color="000000"/>
              <w:bottom w:val="single" w:sz="4" w:space="0" w:color="000000"/>
              <w:right w:val="single" w:sz="4" w:space="0" w:color="000000"/>
            </w:tcBorders>
          </w:tcPr>
          <w:p w14:paraId="77591267" w14:textId="77777777" w:rsidR="00C90AAE" w:rsidRPr="006D2651" w:rsidRDefault="00C90AAE" w:rsidP="00A10F1B">
            <w:pPr>
              <w:pStyle w:val="TableParagraph"/>
              <w:kinsoku w:val="0"/>
              <w:overflowPunct w:val="0"/>
              <w:spacing w:before="32" w:line="276" w:lineRule="auto"/>
              <w:ind w:left="163"/>
              <w:rPr>
                <w:sz w:val="20"/>
                <w:szCs w:val="20"/>
              </w:rPr>
            </w:pPr>
            <w:r w:rsidRPr="006D2651">
              <w:rPr>
                <w:sz w:val="20"/>
                <w:szCs w:val="20"/>
              </w:rPr>
              <w:t>Year 4</w:t>
            </w:r>
          </w:p>
        </w:tc>
        <w:tc>
          <w:tcPr>
            <w:tcW w:w="800" w:type="dxa"/>
            <w:tcBorders>
              <w:top w:val="single" w:sz="4" w:space="0" w:color="000000"/>
              <w:left w:val="single" w:sz="4" w:space="0" w:color="000000"/>
              <w:bottom w:val="single" w:sz="4" w:space="0" w:color="000000"/>
              <w:right w:val="single" w:sz="4" w:space="0" w:color="000000"/>
            </w:tcBorders>
          </w:tcPr>
          <w:p w14:paraId="2F23F487" w14:textId="77777777" w:rsidR="00C90AAE" w:rsidRPr="006D2651" w:rsidRDefault="00C90AAE" w:rsidP="00A10F1B">
            <w:pPr>
              <w:pStyle w:val="TableParagraph"/>
              <w:kinsoku w:val="0"/>
              <w:overflowPunct w:val="0"/>
              <w:spacing w:before="32" w:line="276" w:lineRule="auto"/>
              <w:ind w:left="177"/>
              <w:rPr>
                <w:sz w:val="20"/>
                <w:szCs w:val="20"/>
              </w:rPr>
            </w:pPr>
            <w:r w:rsidRPr="006D2651">
              <w:rPr>
                <w:sz w:val="20"/>
                <w:szCs w:val="20"/>
              </w:rPr>
              <w:t>------</w:t>
            </w:r>
          </w:p>
        </w:tc>
      </w:tr>
      <w:tr w:rsidR="00C90AAE" w:rsidRPr="006D2651" w14:paraId="6D9130AF" w14:textId="77777777" w:rsidTr="00A10F1B">
        <w:trPr>
          <w:trHeight w:val="333"/>
        </w:trPr>
        <w:tc>
          <w:tcPr>
            <w:tcW w:w="2674" w:type="dxa"/>
            <w:tcBorders>
              <w:top w:val="single" w:sz="4" w:space="0" w:color="000000"/>
              <w:left w:val="single" w:sz="4" w:space="0" w:color="000000"/>
              <w:bottom w:val="single" w:sz="4" w:space="0" w:color="000000"/>
              <w:right w:val="single" w:sz="4" w:space="0" w:color="000000"/>
            </w:tcBorders>
          </w:tcPr>
          <w:p w14:paraId="764DAD04" w14:textId="77777777" w:rsidR="00C90AAE" w:rsidRPr="006D2651" w:rsidRDefault="00C90AAE" w:rsidP="00A10F1B">
            <w:pPr>
              <w:pStyle w:val="TableParagraph"/>
              <w:kinsoku w:val="0"/>
              <w:overflowPunct w:val="0"/>
              <w:spacing w:before="1" w:line="276" w:lineRule="auto"/>
              <w:ind w:left="100"/>
              <w:rPr>
                <w:b/>
                <w:bCs/>
                <w:sz w:val="20"/>
                <w:szCs w:val="20"/>
              </w:rPr>
            </w:pPr>
            <w:r w:rsidRPr="006D2651">
              <w:rPr>
                <w:b/>
                <w:bCs/>
                <w:sz w:val="20"/>
                <w:szCs w:val="20"/>
              </w:rPr>
              <w:t>Assets</w:t>
            </w:r>
          </w:p>
        </w:tc>
        <w:tc>
          <w:tcPr>
            <w:tcW w:w="834" w:type="dxa"/>
            <w:tcBorders>
              <w:top w:val="single" w:sz="4" w:space="0" w:color="000000"/>
              <w:left w:val="single" w:sz="4" w:space="0" w:color="000000"/>
              <w:bottom w:val="single" w:sz="4" w:space="0" w:color="000000"/>
              <w:right w:val="single" w:sz="4" w:space="0" w:color="000000"/>
            </w:tcBorders>
          </w:tcPr>
          <w:p w14:paraId="1CF36FD0"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42152DB1"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186C2CE"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69EC3B11"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6A2DA09"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5093637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415B77B0"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6D0B8243"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4BC792DB"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76059C96"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Gross fixed assets</w:t>
            </w:r>
          </w:p>
        </w:tc>
        <w:tc>
          <w:tcPr>
            <w:tcW w:w="834" w:type="dxa"/>
            <w:tcBorders>
              <w:top w:val="single" w:sz="4" w:space="0" w:color="000000"/>
              <w:left w:val="single" w:sz="4" w:space="0" w:color="000000"/>
              <w:bottom w:val="single" w:sz="4" w:space="0" w:color="000000"/>
              <w:right w:val="single" w:sz="4" w:space="0" w:color="000000"/>
            </w:tcBorders>
          </w:tcPr>
          <w:p w14:paraId="50551FCD"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6CB1D84E"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DC42A8F"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69A1A47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92F2E1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207FF6D"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7DEAEC6"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24E3A1EC"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371F5C66" w14:textId="77777777" w:rsidTr="00A10F1B">
        <w:trPr>
          <w:trHeight w:val="517"/>
        </w:trPr>
        <w:tc>
          <w:tcPr>
            <w:tcW w:w="2674" w:type="dxa"/>
            <w:tcBorders>
              <w:top w:val="single" w:sz="4" w:space="0" w:color="000000"/>
              <w:left w:val="single" w:sz="4" w:space="0" w:color="000000"/>
              <w:bottom w:val="single" w:sz="4" w:space="0" w:color="000000"/>
              <w:right w:val="single" w:sz="4" w:space="0" w:color="000000"/>
            </w:tcBorders>
          </w:tcPr>
          <w:p w14:paraId="4259B745"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Less: Accumulated</w:t>
            </w:r>
          </w:p>
          <w:p w14:paraId="06D8B87F" w14:textId="77777777" w:rsidR="00C90AAE" w:rsidRPr="006D2651" w:rsidRDefault="00C90AAE" w:rsidP="00A10F1B">
            <w:pPr>
              <w:pStyle w:val="TableParagraph"/>
              <w:kinsoku w:val="0"/>
              <w:overflowPunct w:val="0"/>
              <w:spacing w:before="6" w:line="276" w:lineRule="auto"/>
              <w:ind w:left="100"/>
              <w:rPr>
                <w:sz w:val="20"/>
                <w:szCs w:val="20"/>
              </w:rPr>
            </w:pPr>
            <w:r w:rsidRPr="006D2651">
              <w:rPr>
                <w:sz w:val="20"/>
                <w:szCs w:val="20"/>
              </w:rPr>
              <w:t>depreciation (*)</w:t>
            </w:r>
          </w:p>
        </w:tc>
        <w:tc>
          <w:tcPr>
            <w:tcW w:w="834" w:type="dxa"/>
            <w:tcBorders>
              <w:top w:val="single" w:sz="4" w:space="0" w:color="000000"/>
              <w:left w:val="single" w:sz="4" w:space="0" w:color="000000"/>
              <w:bottom w:val="single" w:sz="4" w:space="0" w:color="000000"/>
              <w:right w:val="single" w:sz="4" w:space="0" w:color="000000"/>
            </w:tcBorders>
          </w:tcPr>
          <w:p w14:paraId="432A9F3A"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552B4BA9"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9027931"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6EF05518"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4FD6325"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57D14BC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355A448"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578C2975"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74CCC8A7"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4928884D" w14:textId="77777777" w:rsidR="00C90AAE" w:rsidRPr="006D2651" w:rsidRDefault="00C90AAE" w:rsidP="00A10F1B">
            <w:pPr>
              <w:pStyle w:val="TableParagraph"/>
              <w:kinsoku w:val="0"/>
              <w:overflowPunct w:val="0"/>
              <w:spacing w:before="1" w:line="276" w:lineRule="auto"/>
              <w:ind w:left="100"/>
              <w:rPr>
                <w:b/>
                <w:bCs/>
                <w:sz w:val="20"/>
                <w:szCs w:val="20"/>
              </w:rPr>
            </w:pPr>
            <w:r w:rsidRPr="006D2651">
              <w:rPr>
                <w:b/>
                <w:bCs/>
                <w:sz w:val="20"/>
                <w:szCs w:val="20"/>
              </w:rPr>
              <w:t>Net Fixed assets</w:t>
            </w:r>
          </w:p>
        </w:tc>
        <w:tc>
          <w:tcPr>
            <w:tcW w:w="834" w:type="dxa"/>
            <w:tcBorders>
              <w:top w:val="single" w:sz="4" w:space="0" w:color="000000"/>
              <w:left w:val="single" w:sz="4" w:space="0" w:color="000000"/>
              <w:bottom w:val="single" w:sz="4" w:space="0" w:color="000000"/>
              <w:right w:val="single" w:sz="4" w:space="0" w:color="000000"/>
            </w:tcBorders>
          </w:tcPr>
          <w:p w14:paraId="3301C43F"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65D2694B"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541E5C3A"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BC5122F"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42576B3E"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EB9FF05"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0791FF6"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1CBDC3C"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75F81FD2" w14:textId="77777777" w:rsidTr="00A10F1B">
        <w:trPr>
          <w:trHeight w:val="257"/>
        </w:trPr>
        <w:tc>
          <w:tcPr>
            <w:tcW w:w="2674" w:type="dxa"/>
            <w:tcBorders>
              <w:top w:val="single" w:sz="4" w:space="0" w:color="000000"/>
              <w:left w:val="single" w:sz="4" w:space="0" w:color="000000"/>
              <w:bottom w:val="single" w:sz="4" w:space="0" w:color="000000"/>
              <w:right w:val="single" w:sz="4" w:space="0" w:color="000000"/>
            </w:tcBorders>
          </w:tcPr>
          <w:p w14:paraId="6F3AAD38"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Net current assets</w:t>
            </w:r>
          </w:p>
        </w:tc>
        <w:tc>
          <w:tcPr>
            <w:tcW w:w="834" w:type="dxa"/>
            <w:tcBorders>
              <w:top w:val="single" w:sz="4" w:space="0" w:color="000000"/>
              <w:left w:val="single" w:sz="4" w:space="0" w:color="000000"/>
              <w:bottom w:val="single" w:sz="4" w:space="0" w:color="000000"/>
              <w:right w:val="single" w:sz="4" w:space="0" w:color="000000"/>
            </w:tcBorders>
          </w:tcPr>
          <w:p w14:paraId="3914359B"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57594350"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6784342"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EB903B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AD1051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FBCE2E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0C597D74"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602E9432"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3FA21788" w14:textId="77777777" w:rsidTr="00A10F1B">
        <w:trPr>
          <w:trHeight w:val="260"/>
        </w:trPr>
        <w:tc>
          <w:tcPr>
            <w:tcW w:w="2674" w:type="dxa"/>
            <w:tcBorders>
              <w:top w:val="single" w:sz="4" w:space="0" w:color="000000"/>
              <w:left w:val="single" w:sz="4" w:space="0" w:color="000000"/>
              <w:bottom w:val="single" w:sz="4" w:space="0" w:color="000000"/>
              <w:right w:val="single" w:sz="4" w:space="0" w:color="000000"/>
            </w:tcBorders>
          </w:tcPr>
          <w:p w14:paraId="4AE9BD70"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Cash and bank balance</w:t>
            </w:r>
          </w:p>
        </w:tc>
        <w:tc>
          <w:tcPr>
            <w:tcW w:w="834" w:type="dxa"/>
            <w:tcBorders>
              <w:top w:val="single" w:sz="4" w:space="0" w:color="000000"/>
              <w:left w:val="single" w:sz="4" w:space="0" w:color="000000"/>
              <w:bottom w:val="single" w:sz="4" w:space="0" w:color="000000"/>
              <w:right w:val="single" w:sz="4" w:space="0" w:color="000000"/>
            </w:tcBorders>
          </w:tcPr>
          <w:p w14:paraId="04155F29"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42F069D5"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C18E43A"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1F8425E"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C16B397"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DF47E79"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7A4D7E7"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79FB7AC7"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1D3542E4"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486DA455"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Investments</w:t>
            </w:r>
          </w:p>
        </w:tc>
        <w:tc>
          <w:tcPr>
            <w:tcW w:w="834" w:type="dxa"/>
            <w:tcBorders>
              <w:top w:val="single" w:sz="4" w:space="0" w:color="000000"/>
              <w:left w:val="single" w:sz="4" w:space="0" w:color="000000"/>
              <w:bottom w:val="single" w:sz="4" w:space="0" w:color="000000"/>
              <w:right w:val="single" w:sz="4" w:space="0" w:color="000000"/>
            </w:tcBorders>
          </w:tcPr>
          <w:p w14:paraId="3146283F"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6B82CAC8"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3AA48F4"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6BD7A82"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1173BE"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E92016F"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24DEF1D"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2DB2C0A"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736BA7BD"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1F53F4B4"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Miscellaneous fixed assets</w:t>
            </w:r>
          </w:p>
        </w:tc>
        <w:tc>
          <w:tcPr>
            <w:tcW w:w="834" w:type="dxa"/>
            <w:tcBorders>
              <w:top w:val="single" w:sz="4" w:space="0" w:color="000000"/>
              <w:left w:val="single" w:sz="4" w:space="0" w:color="000000"/>
              <w:bottom w:val="single" w:sz="4" w:space="0" w:color="000000"/>
              <w:right w:val="single" w:sz="4" w:space="0" w:color="000000"/>
            </w:tcBorders>
          </w:tcPr>
          <w:p w14:paraId="72DF68FE"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7FCBBCAC"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61221F9"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40AE214D"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3406AA0"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09476C4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4124FF1"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1D918A19"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621CBA8F" w14:textId="77777777" w:rsidTr="00A10F1B">
        <w:trPr>
          <w:trHeight w:val="518"/>
        </w:trPr>
        <w:tc>
          <w:tcPr>
            <w:tcW w:w="2674" w:type="dxa"/>
            <w:tcBorders>
              <w:top w:val="single" w:sz="4" w:space="0" w:color="000000"/>
              <w:left w:val="single" w:sz="4" w:space="0" w:color="000000"/>
              <w:bottom w:val="single" w:sz="4" w:space="0" w:color="000000"/>
              <w:right w:val="single" w:sz="4" w:space="0" w:color="000000"/>
            </w:tcBorders>
          </w:tcPr>
          <w:p w14:paraId="040EE285"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Deferred revenue</w:t>
            </w:r>
          </w:p>
          <w:p w14:paraId="4A14A84F" w14:textId="77777777" w:rsidR="00C90AAE" w:rsidRPr="006D2651" w:rsidRDefault="00C90AAE" w:rsidP="00A10F1B">
            <w:pPr>
              <w:pStyle w:val="TableParagraph"/>
              <w:kinsoku w:val="0"/>
              <w:overflowPunct w:val="0"/>
              <w:spacing w:before="6" w:line="276" w:lineRule="auto"/>
              <w:ind w:left="100"/>
              <w:rPr>
                <w:sz w:val="20"/>
                <w:szCs w:val="20"/>
              </w:rPr>
            </w:pPr>
            <w:r w:rsidRPr="006D2651">
              <w:rPr>
                <w:sz w:val="20"/>
                <w:szCs w:val="20"/>
              </w:rPr>
              <w:t>Expenditure</w:t>
            </w:r>
          </w:p>
        </w:tc>
        <w:tc>
          <w:tcPr>
            <w:tcW w:w="834" w:type="dxa"/>
            <w:tcBorders>
              <w:top w:val="single" w:sz="4" w:space="0" w:color="000000"/>
              <w:left w:val="single" w:sz="4" w:space="0" w:color="000000"/>
              <w:bottom w:val="single" w:sz="4" w:space="0" w:color="000000"/>
              <w:right w:val="single" w:sz="4" w:space="0" w:color="000000"/>
            </w:tcBorders>
          </w:tcPr>
          <w:p w14:paraId="1589CE0C"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62B252B0"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6E1B09D8"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E55907E"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394F05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3D506C9"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E7203F1"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270E13DD"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4E137945"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032DDF69"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Others (please specify)</w:t>
            </w:r>
          </w:p>
        </w:tc>
        <w:tc>
          <w:tcPr>
            <w:tcW w:w="834" w:type="dxa"/>
            <w:tcBorders>
              <w:top w:val="single" w:sz="4" w:space="0" w:color="000000"/>
              <w:left w:val="single" w:sz="4" w:space="0" w:color="000000"/>
              <w:bottom w:val="single" w:sz="4" w:space="0" w:color="000000"/>
              <w:right w:val="single" w:sz="4" w:space="0" w:color="000000"/>
            </w:tcBorders>
          </w:tcPr>
          <w:p w14:paraId="11E0825C"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6CF5B44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911E2C2"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E34F3B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4077432C"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A58BA9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8FAF0E5"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4DF86A51"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50C4393C"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5C202FB8"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Liabilities</w:t>
            </w:r>
          </w:p>
        </w:tc>
        <w:tc>
          <w:tcPr>
            <w:tcW w:w="834" w:type="dxa"/>
            <w:tcBorders>
              <w:top w:val="single" w:sz="4" w:space="0" w:color="000000"/>
              <w:left w:val="single" w:sz="4" w:space="0" w:color="000000"/>
              <w:bottom w:val="single" w:sz="4" w:space="0" w:color="000000"/>
              <w:right w:val="single" w:sz="4" w:space="0" w:color="000000"/>
            </w:tcBorders>
          </w:tcPr>
          <w:p w14:paraId="59D39603"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252EC7B5"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0EB043B2"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B21CE72"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AF9A987"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56E99022"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94B5E5D"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B6FF2D9"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42EF7093" w14:textId="77777777" w:rsidTr="00A10F1B">
        <w:trPr>
          <w:trHeight w:val="260"/>
        </w:trPr>
        <w:tc>
          <w:tcPr>
            <w:tcW w:w="2674" w:type="dxa"/>
            <w:tcBorders>
              <w:top w:val="single" w:sz="4" w:space="0" w:color="000000"/>
              <w:left w:val="single" w:sz="4" w:space="0" w:color="000000"/>
              <w:bottom w:val="single" w:sz="4" w:space="0" w:color="000000"/>
              <w:right w:val="single" w:sz="4" w:space="0" w:color="000000"/>
            </w:tcBorders>
          </w:tcPr>
          <w:p w14:paraId="12D49ACD"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New worth</w:t>
            </w:r>
          </w:p>
        </w:tc>
        <w:tc>
          <w:tcPr>
            <w:tcW w:w="834" w:type="dxa"/>
            <w:tcBorders>
              <w:top w:val="single" w:sz="4" w:space="0" w:color="000000"/>
              <w:left w:val="single" w:sz="4" w:space="0" w:color="000000"/>
              <w:bottom w:val="single" w:sz="4" w:space="0" w:color="000000"/>
              <w:right w:val="single" w:sz="4" w:space="0" w:color="000000"/>
            </w:tcBorders>
          </w:tcPr>
          <w:p w14:paraId="01436273"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11247D31"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FE3891C"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70FC104"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26C7D5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7111FA4"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6F7906C"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726C61C3"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590C9DA8" w14:textId="77777777" w:rsidTr="00A10F1B">
        <w:trPr>
          <w:trHeight w:val="257"/>
        </w:trPr>
        <w:tc>
          <w:tcPr>
            <w:tcW w:w="2674" w:type="dxa"/>
            <w:tcBorders>
              <w:top w:val="single" w:sz="4" w:space="0" w:color="000000"/>
              <w:left w:val="single" w:sz="4" w:space="0" w:color="000000"/>
              <w:bottom w:val="single" w:sz="4" w:space="0" w:color="000000"/>
              <w:right w:val="single" w:sz="4" w:space="0" w:color="000000"/>
            </w:tcBorders>
          </w:tcPr>
          <w:p w14:paraId="76BE7F41"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Equity capital</w:t>
            </w:r>
          </w:p>
        </w:tc>
        <w:tc>
          <w:tcPr>
            <w:tcW w:w="834" w:type="dxa"/>
            <w:tcBorders>
              <w:top w:val="single" w:sz="4" w:space="0" w:color="000000"/>
              <w:left w:val="single" w:sz="4" w:space="0" w:color="000000"/>
              <w:bottom w:val="single" w:sz="4" w:space="0" w:color="000000"/>
              <w:right w:val="single" w:sz="4" w:space="0" w:color="000000"/>
            </w:tcBorders>
          </w:tcPr>
          <w:p w14:paraId="0524E83D"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73EE16F1"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0FF310E4"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7ADBBFAF"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B559A01"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E01F4E5"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C1D01E9"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6FDEFFEA"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3EEC03AB" w14:textId="77777777" w:rsidTr="00A10F1B">
        <w:trPr>
          <w:trHeight w:val="517"/>
        </w:trPr>
        <w:tc>
          <w:tcPr>
            <w:tcW w:w="2674" w:type="dxa"/>
            <w:tcBorders>
              <w:top w:val="single" w:sz="4" w:space="0" w:color="000000"/>
              <w:left w:val="single" w:sz="4" w:space="0" w:color="000000"/>
              <w:bottom w:val="single" w:sz="4" w:space="0" w:color="000000"/>
              <w:right w:val="single" w:sz="4" w:space="0" w:color="000000"/>
            </w:tcBorders>
          </w:tcPr>
          <w:p w14:paraId="5409145D"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Preference share capital</w:t>
            </w:r>
          </w:p>
          <w:p w14:paraId="7B5F27EC" w14:textId="77777777" w:rsidR="00C90AAE" w:rsidRPr="006D2651" w:rsidRDefault="00C90AAE" w:rsidP="00A10F1B">
            <w:pPr>
              <w:pStyle w:val="TableParagraph"/>
              <w:kinsoku w:val="0"/>
              <w:overflowPunct w:val="0"/>
              <w:spacing w:before="6" w:line="276" w:lineRule="auto"/>
              <w:ind w:left="100"/>
              <w:rPr>
                <w:sz w:val="20"/>
                <w:szCs w:val="20"/>
              </w:rPr>
            </w:pPr>
            <w:r w:rsidRPr="006D2651">
              <w:rPr>
                <w:sz w:val="20"/>
                <w:szCs w:val="20"/>
              </w:rPr>
              <w:t>(**)</w:t>
            </w:r>
          </w:p>
        </w:tc>
        <w:tc>
          <w:tcPr>
            <w:tcW w:w="834" w:type="dxa"/>
            <w:tcBorders>
              <w:top w:val="single" w:sz="4" w:space="0" w:color="000000"/>
              <w:left w:val="single" w:sz="4" w:space="0" w:color="000000"/>
              <w:bottom w:val="single" w:sz="4" w:space="0" w:color="000000"/>
              <w:right w:val="single" w:sz="4" w:space="0" w:color="000000"/>
            </w:tcBorders>
          </w:tcPr>
          <w:p w14:paraId="0C8B7768"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5D708F32"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23256C4"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03782B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0C9F1E7F"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F61AA74"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0D50672"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765293E"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6A5FA96F"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7F559048"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Reserves</w:t>
            </w:r>
          </w:p>
        </w:tc>
        <w:tc>
          <w:tcPr>
            <w:tcW w:w="834" w:type="dxa"/>
            <w:tcBorders>
              <w:top w:val="single" w:sz="4" w:space="0" w:color="000000"/>
              <w:left w:val="single" w:sz="4" w:space="0" w:color="000000"/>
              <w:bottom w:val="single" w:sz="4" w:space="0" w:color="000000"/>
              <w:right w:val="single" w:sz="4" w:space="0" w:color="000000"/>
            </w:tcBorders>
          </w:tcPr>
          <w:p w14:paraId="108D2035"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1119431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12F4E74"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5EE1791A"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0AEFC6CC"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BAA2640"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98A2A2F"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04812B1D"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43D8EAA4"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72F4067A" w14:textId="77777777" w:rsidR="00C90AAE" w:rsidRPr="006D2651" w:rsidRDefault="00C90AAE" w:rsidP="00A10F1B">
            <w:pPr>
              <w:pStyle w:val="TableParagraph"/>
              <w:kinsoku w:val="0"/>
              <w:overflowPunct w:val="0"/>
              <w:spacing w:before="3" w:line="276" w:lineRule="auto"/>
              <w:ind w:left="100"/>
              <w:rPr>
                <w:b/>
                <w:bCs/>
                <w:sz w:val="20"/>
                <w:szCs w:val="20"/>
              </w:rPr>
            </w:pPr>
            <w:r w:rsidRPr="006D2651">
              <w:rPr>
                <w:b/>
                <w:bCs/>
                <w:sz w:val="20"/>
                <w:szCs w:val="20"/>
              </w:rPr>
              <w:t>Debt</w:t>
            </w:r>
          </w:p>
        </w:tc>
        <w:tc>
          <w:tcPr>
            <w:tcW w:w="834" w:type="dxa"/>
            <w:tcBorders>
              <w:top w:val="single" w:sz="4" w:space="0" w:color="000000"/>
              <w:left w:val="single" w:sz="4" w:space="0" w:color="000000"/>
              <w:bottom w:val="single" w:sz="4" w:space="0" w:color="000000"/>
              <w:right w:val="single" w:sz="4" w:space="0" w:color="000000"/>
            </w:tcBorders>
          </w:tcPr>
          <w:p w14:paraId="16A95987"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79DC5666"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4EB7667"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2829FDE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FE2809"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A52C60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484A009"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4EFC65C4"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6EF64652"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73AE78A1"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Rupee term loans</w:t>
            </w:r>
          </w:p>
        </w:tc>
        <w:tc>
          <w:tcPr>
            <w:tcW w:w="834" w:type="dxa"/>
            <w:tcBorders>
              <w:top w:val="single" w:sz="4" w:space="0" w:color="000000"/>
              <w:left w:val="single" w:sz="4" w:space="0" w:color="000000"/>
              <w:bottom w:val="single" w:sz="4" w:space="0" w:color="000000"/>
              <w:right w:val="single" w:sz="4" w:space="0" w:color="000000"/>
            </w:tcBorders>
          </w:tcPr>
          <w:p w14:paraId="0756BDA4"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25B5E784"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E7F6980"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8FF3656"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41D424C2"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02930411"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D0FAEA1"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DAB4802"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2AC591FE" w14:textId="77777777" w:rsidTr="00A10F1B">
        <w:trPr>
          <w:trHeight w:val="258"/>
        </w:trPr>
        <w:tc>
          <w:tcPr>
            <w:tcW w:w="2674" w:type="dxa"/>
            <w:tcBorders>
              <w:top w:val="single" w:sz="4" w:space="0" w:color="000000"/>
              <w:left w:val="single" w:sz="4" w:space="0" w:color="000000"/>
              <w:bottom w:val="single" w:sz="4" w:space="0" w:color="000000"/>
              <w:right w:val="single" w:sz="4" w:space="0" w:color="000000"/>
            </w:tcBorders>
          </w:tcPr>
          <w:p w14:paraId="78F4B092"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FC term loans</w:t>
            </w:r>
          </w:p>
        </w:tc>
        <w:tc>
          <w:tcPr>
            <w:tcW w:w="834" w:type="dxa"/>
            <w:tcBorders>
              <w:top w:val="single" w:sz="4" w:space="0" w:color="000000"/>
              <w:left w:val="single" w:sz="4" w:space="0" w:color="000000"/>
              <w:bottom w:val="single" w:sz="4" w:space="0" w:color="000000"/>
              <w:right w:val="single" w:sz="4" w:space="0" w:color="000000"/>
            </w:tcBorders>
          </w:tcPr>
          <w:p w14:paraId="5E26C9BF"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11169635"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2A8D1F5C"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2F8D76E"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F6D439F"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DC7E821"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92121C4"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471925A2"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5DA32000" w14:textId="77777777" w:rsidTr="00A10F1B">
        <w:trPr>
          <w:trHeight w:val="520"/>
        </w:trPr>
        <w:tc>
          <w:tcPr>
            <w:tcW w:w="2674" w:type="dxa"/>
            <w:tcBorders>
              <w:top w:val="single" w:sz="4" w:space="0" w:color="000000"/>
              <w:left w:val="single" w:sz="4" w:space="0" w:color="000000"/>
              <w:bottom w:val="single" w:sz="4" w:space="0" w:color="000000"/>
              <w:right w:val="single" w:sz="4" w:space="0" w:color="000000"/>
            </w:tcBorders>
          </w:tcPr>
          <w:p w14:paraId="787E8474"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Bank borrowings for</w:t>
            </w:r>
          </w:p>
          <w:p w14:paraId="28AC4569" w14:textId="77777777" w:rsidR="00C90AAE" w:rsidRPr="006D2651" w:rsidRDefault="00C90AAE" w:rsidP="00A10F1B">
            <w:pPr>
              <w:pStyle w:val="TableParagraph"/>
              <w:kinsoku w:val="0"/>
              <w:overflowPunct w:val="0"/>
              <w:spacing w:before="6" w:line="276" w:lineRule="auto"/>
              <w:ind w:left="100"/>
              <w:rPr>
                <w:sz w:val="20"/>
                <w:szCs w:val="20"/>
              </w:rPr>
            </w:pPr>
            <w:r w:rsidRPr="006D2651">
              <w:rPr>
                <w:sz w:val="20"/>
                <w:szCs w:val="20"/>
              </w:rPr>
              <w:t>working capital</w:t>
            </w:r>
          </w:p>
        </w:tc>
        <w:tc>
          <w:tcPr>
            <w:tcW w:w="834" w:type="dxa"/>
            <w:tcBorders>
              <w:top w:val="single" w:sz="4" w:space="0" w:color="000000"/>
              <w:left w:val="single" w:sz="4" w:space="0" w:color="000000"/>
              <w:bottom w:val="single" w:sz="4" w:space="0" w:color="000000"/>
              <w:right w:val="single" w:sz="4" w:space="0" w:color="000000"/>
            </w:tcBorders>
          </w:tcPr>
          <w:p w14:paraId="73EF9CF1"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4A64B48C"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146F4763"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0C12635B"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87A4AFD"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469B96D7"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9F68228"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60EC2061" w14:textId="77777777" w:rsidR="00C90AAE" w:rsidRPr="006D2651" w:rsidRDefault="00C90AAE" w:rsidP="00A10F1B">
            <w:pPr>
              <w:pStyle w:val="TableParagraph"/>
              <w:kinsoku w:val="0"/>
              <w:overflowPunct w:val="0"/>
              <w:spacing w:line="276" w:lineRule="auto"/>
              <w:rPr>
                <w:sz w:val="20"/>
                <w:szCs w:val="20"/>
              </w:rPr>
            </w:pPr>
          </w:p>
        </w:tc>
      </w:tr>
      <w:tr w:rsidR="00C90AAE" w:rsidRPr="006D2651" w14:paraId="0ABED8B0" w14:textId="77777777" w:rsidTr="00A10F1B">
        <w:trPr>
          <w:trHeight w:val="301"/>
        </w:trPr>
        <w:tc>
          <w:tcPr>
            <w:tcW w:w="2674" w:type="dxa"/>
            <w:tcBorders>
              <w:top w:val="single" w:sz="4" w:space="0" w:color="000000"/>
              <w:left w:val="single" w:sz="4" w:space="0" w:color="000000"/>
              <w:bottom w:val="single" w:sz="4" w:space="0" w:color="000000"/>
              <w:right w:val="single" w:sz="4" w:space="0" w:color="000000"/>
            </w:tcBorders>
          </w:tcPr>
          <w:p w14:paraId="560F7604" w14:textId="77777777" w:rsidR="00C90AAE" w:rsidRPr="006D2651" w:rsidRDefault="00C90AAE" w:rsidP="00A10F1B">
            <w:pPr>
              <w:pStyle w:val="TableParagraph"/>
              <w:kinsoku w:val="0"/>
              <w:overflowPunct w:val="0"/>
              <w:spacing w:line="276" w:lineRule="auto"/>
              <w:ind w:left="100"/>
              <w:rPr>
                <w:sz w:val="20"/>
                <w:szCs w:val="20"/>
              </w:rPr>
            </w:pPr>
            <w:r w:rsidRPr="006D2651">
              <w:rPr>
                <w:sz w:val="20"/>
                <w:szCs w:val="20"/>
              </w:rPr>
              <w:t>Others (please specify)</w:t>
            </w:r>
          </w:p>
        </w:tc>
        <w:tc>
          <w:tcPr>
            <w:tcW w:w="834" w:type="dxa"/>
            <w:tcBorders>
              <w:top w:val="single" w:sz="4" w:space="0" w:color="000000"/>
              <w:left w:val="single" w:sz="4" w:space="0" w:color="000000"/>
              <w:bottom w:val="single" w:sz="4" w:space="0" w:color="000000"/>
              <w:right w:val="single" w:sz="4" w:space="0" w:color="000000"/>
            </w:tcBorders>
          </w:tcPr>
          <w:p w14:paraId="2A2F6560" w14:textId="77777777" w:rsidR="00C90AAE" w:rsidRPr="006D2651" w:rsidRDefault="00C90AAE" w:rsidP="00A10F1B">
            <w:pPr>
              <w:pStyle w:val="TableParagraph"/>
              <w:kinsoku w:val="0"/>
              <w:overflowPunct w:val="0"/>
              <w:spacing w:line="276" w:lineRule="auto"/>
              <w:rPr>
                <w:sz w:val="20"/>
                <w:szCs w:val="20"/>
              </w:rPr>
            </w:pPr>
          </w:p>
        </w:tc>
        <w:tc>
          <w:tcPr>
            <w:tcW w:w="949" w:type="dxa"/>
            <w:tcBorders>
              <w:top w:val="single" w:sz="4" w:space="0" w:color="000000"/>
              <w:left w:val="single" w:sz="4" w:space="0" w:color="000000"/>
              <w:bottom w:val="single" w:sz="4" w:space="0" w:color="000000"/>
              <w:right w:val="single" w:sz="4" w:space="0" w:color="000000"/>
            </w:tcBorders>
          </w:tcPr>
          <w:p w14:paraId="7750D941"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73AB9A75" w14:textId="77777777" w:rsidR="00C90AAE" w:rsidRPr="006D2651" w:rsidRDefault="00C90AAE" w:rsidP="00A10F1B">
            <w:pPr>
              <w:pStyle w:val="TableParagraph"/>
              <w:kinsoku w:val="0"/>
              <w:overflowPunct w:val="0"/>
              <w:spacing w:line="276" w:lineRule="auto"/>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14:paraId="1951607C"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1EF30C3" w14:textId="77777777" w:rsidR="00C90AAE" w:rsidRPr="006D2651" w:rsidRDefault="00C90AAE" w:rsidP="00A10F1B">
            <w:pPr>
              <w:pStyle w:val="TableParagraph"/>
              <w:kinsoku w:val="0"/>
              <w:overflowPunct w:val="0"/>
              <w:spacing w:line="276" w:lineRule="auto"/>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14:paraId="302EA021" w14:textId="77777777" w:rsidR="00C90AAE" w:rsidRPr="006D2651" w:rsidRDefault="00C90AAE" w:rsidP="00A10F1B">
            <w:pPr>
              <w:pStyle w:val="TableParagraph"/>
              <w:kinsoku w:val="0"/>
              <w:overflowPunct w:val="0"/>
              <w:spacing w:line="276" w:lineRule="auto"/>
              <w:rPr>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07C1CC10" w14:textId="77777777" w:rsidR="00C90AAE" w:rsidRPr="006D2651" w:rsidRDefault="00C90AAE" w:rsidP="00A10F1B">
            <w:pPr>
              <w:pStyle w:val="TableParagraph"/>
              <w:kinsoku w:val="0"/>
              <w:overflowPunct w:val="0"/>
              <w:spacing w:line="276" w:lineRule="auto"/>
              <w:rPr>
                <w:sz w:val="20"/>
                <w:szCs w:val="20"/>
              </w:rPr>
            </w:pPr>
          </w:p>
        </w:tc>
        <w:tc>
          <w:tcPr>
            <w:tcW w:w="800" w:type="dxa"/>
            <w:tcBorders>
              <w:top w:val="single" w:sz="4" w:space="0" w:color="000000"/>
              <w:left w:val="single" w:sz="4" w:space="0" w:color="000000"/>
              <w:bottom w:val="single" w:sz="4" w:space="0" w:color="000000"/>
              <w:right w:val="single" w:sz="4" w:space="0" w:color="000000"/>
            </w:tcBorders>
          </w:tcPr>
          <w:p w14:paraId="30BE2C86" w14:textId="77777777" w:rsidR="00C90AAE" w:rsidRPr="006D2651" w:rsidRDefault="00C90AAE" w:rsidP="00A10F1B">
            <w:pPr>
              <w:pStyle w:val="TableParagraph"/>
              <w:kinsoku w:val="0"/>
              <w:overflowPunct w:val="0"/>
              <w:spacing w:line="276" w:lineRule="auto"/>
              <w:rPr>
                <w:sz w:val="20"/>
                <w:szCs w:val="20"/>
              </w:rPr>
            </w:pPr>
          </w:p>
        </w:tc>
      </w:tr>
    </w:tbl>
    <w:p w14:paraId="568BA0C4" w14:textId="77777777" w:rsidR="00C90AAE" w:rsidRPr="006D2651" w:rsidRDefault="00C90AAE" w:rsidP="00C90AAE">
      <w:pPr>
        <w:spacing w:after="0"/>
        <w:rPr>
          <w:rFonts w:ascii="Times New Roman" w:hAnsi="Times New Roman"/>
          <w:sz w:val="20"/>
          <w:szCs w:val="20"/>
        </w:rPr>
      </w:pPr>
    </w:p>
    <w:p w14:paraId="45A36E52" w14:textId="77777777" w:rsidR="00C90AAE" w:rsidRPr="006D2651" w:rsidRDefault="00C90AAE" w:rsidP="00C90AAE">
      <w:pPr>
        <w:spacing w:after="0"/>
        <w:rPr>
          <w:rFonts w:ascii="Times New Roman" w:hAnsi="Times New Roman"/>
          <w:sz w:val="20"/>
          <w:szCs w:val="20"/>
        </w:rPr>
      </w:pPr>
      <w:r w:rsidRPr="006D2651">
        <w:rPr>
          <w:rFonts w:ascii="Times New Roman" w:hAnsi="Times New Roman"/>
          <w:sz w:val="20"/>
          <w:szCs w:val="20"/>
        </w:rPr>
        <w:lastRenderedPageBreak/>
        <w:t>($) Actuals or estimates, wherever applicable</w:t>
      </w:r>
    </w:p>
    <w:p w14:paraId="29CC27F1" w14:textId="77777777" w:rsidR="00C90AAE" w:rsidRPr="006D2651" w:rsidRDefault="00C90AAE" w:rsidP="00C90AAE">
      <w:pPr>
        <w:spacing w:after="0"/>
        <w:rPr>
          <w:rFonts w:ascii="Times New Roman" w:hAnsi="Times New Roman"/>
          <w:sz w:val="20"/>
          <w:szCs w:val="20"/>
        </w:rPr>
      </w:pPr>
      <w:r w:rsidRPr="006D2651">
        <w:rPr>
          <w:rFonts w:ascii="Times New Roman" w:hAnsi="Times New Roman"/>
          <w:sz w:val="20"/>
          <w:szCs w:val="20"/>
        </w:rPr>
        <w:t>(*) Asset head-wise depreciation calculations to be provided</w:t>
      </w:r>
    </w:p>
    <w:p w14:paraId="18250E76" w14:textId="77777777" w:rsidR="00C90AAE" w:rsidRPr="006D2651" w:rsidRDefault="00C90AAE" w:rsidP="00C90AAE">
      <w:pPr>
        <w:spacing w:after="0"/>
        <w:rPr>
          <w:rFonts w:ascii="Times New Roman" w:hAnsi="Times New Roman"/>
          <w:sz w:val="20"/>
          <w:szCs w:val="20"/>
        </w:rPr>
      </w:pPr>
      <w:r w:rsidRPr="006D2651">
        <w:rPr>
          <w:rFonts w:ascii="Times New Roman" w:hAnsi="Times New Roman"/>
          <w:sz w:val="20"/>
          <w:szCs w:val="20"/>
        </w:rPr>
        <w:t>(**) To the extend non-redeemable. Redeemable preference capital to be shown under debt.</w:t>
      </w:r>
    </w:p>
    <w:p w14:paraId="17956031" w14:textId="15B5DB13" w:rsidR="00C34994" w:rsidRPr="00C34994" w:rsidRDefault="00C34994" w:rsidP="00C90AAE">
      <w:pPr>
        <w:spacing w:after="0"/>
        <w:rPr>
          <w:rFonts w:ascii="Times New Roman" w:hAnsi="Times New Roman"/>
          <w:sz w:val="2"/>
          <w:szCs w:val="2"/>
          <w:u w:val="single"/>
        </w:rPr>
      </w:pPr>
    </w:p>
    <w:p w14:paraId="589F83A7" w14:textId="77777777" w:rsidR="00C34994" w:rsidRPr="00C34994" w:rsidRDefault="00C34994" w:rsidP="00C90AAE">
      <w:pPr>
        <w:spacing w:after="0"/>
        <w:rPr>
          <w:rFonts w:ascii="Times New Roman" w:hAnsi="Times New Roman"/>
          <w:sz w:val="8"/>
          <w:szCs w:val="8"/>
          <w:u w:val="single"/>
        </w:rPr>
      </w:pPr>
    </w:p>
    <w:p w14:paraId="4586E3C7" w14:textId="77777777" w:rsidR="00C34994" w:rsidRDefault="00C34994" w:rsidP="00C90AAE">
      <w:pPr>
        <w:spacing w:after="0"/>
        <w:rPr>
          <w:rFonts w:ascii="Times New Roman" w:hAnsi="Times New Roman"/>
          <w:sz w:val="20"/>
          <w:szCs w:val="20"/>
          <w:u w:val="single"/>
        </w:rPr>
      </w:pPr>
    </w:p>
    <w:p w14:paraId="180601A9" w14:textId="77777777" w:rsidR="00C34994" w:rsidRDefault="00C34994" w:rsidP="00C90AAE">
      <w:pPr>
        <w:spacing w:after="0"/>
        <w:rPr>
          <w:rFonts w:ascii="Times New Roman" w:hAnsi="Times New Roman"/>
          <w:sz w:val="20"/>
          <w:szCs w:val="20"/>
          <w:u w:val="single"/>
        </w:rPr>
      </w:pPr>
    </w:p>
    <w:p w14:paraId="4DA8051C" w14:textId="77777777" w:rsidR="00C34994" w:rsidRDefault="00C34994" w:rsidP="00C90AAE">
      <w:pPr>
        <w:spacing w:after="0"/>
        <w:rPr>
          <w:rFonts w:ascii="Times New Roman" w:hAnsi="Times New Roman"/>
          <w:sz w:val="20"/>
          <w:szCs w:val="20"/>
          <w:u w:val="single"/>
        </w:rPr>
      </w:pPr>
    </w:p>
    <w:p w14:paraId="0C5A1D65" w14:textId="77777777" w:rsidR="00C34994" w:rsidRDefault="00C34994" w:rsidP="00C90AAE">
      <w:pPr>
        <w:spacing w:after="0"/>
        <w:rPr>
          <w:rFonts w:ascii="Times New Roman" w:hAnsi="Times New Roman"/>
          <w:sz w:val="20"/>
          <w:szCs w:val="20"/>
          <w:u w:val="single"/>
        </w:rPr>
      </w:pPr>
    </w:p>
    <w:p w14:paraId="6C98A148" w14:textId="77777777" w:rsidR="00C34994" w:rsidRDefault="00C34994" w:rsidP="00C90AAE">
      <w:pPr>
        <w:spacing w:after="0"/>
        <w:rPr>
          <w:rFonts w:ascii="Times New Roman" w:hAnsi="Times New Roman"/>
          <w:sz w:val="20"/>
          <w:szCs w:val="20"/>
          <w:u w:val="single"/>
        </w:rPr>
      </w:pPr>
    </w:p>
    <w:p w14:paraId="2605E291" w14:textId="77777777" w:rsidR="00C34994" w:rsidRDefault="00C34994" w:rsidP="00C90AAE">
      <w:pPr>
        <w:spacing w:after="0"/>
        <w:rPr>
          <w:rFonts w:ascii="Times New Roman" w:hAnsi="Times New Roman"/>
          <w:sz w:val="20"/>
          <w:szCs w:val="20"/>
          <w:u w:val="single"/>
        </w:rPr>
      </w:pPr>
    </w:p>
    <w:p w14:paraId="3CCFD3D6" w14:textId="77777777" w:rsidR="00C34994" w:rsidRDefault="00C34994" w:rsidP="00C90AAE">
      <w:pPr>
        <w:spacing w:after="0"/>
        <w:rPr>
          <w:rFonts w:ascii="Times New Roman" w:hAnsi="Times New Roman"/>
          <w:sz w:val="20"/>
          <w:szCs w:val="20"/>
          <w:u w:val="single"/>
        </w:rPr>
      </w:pPr>
    </w:p>
    <w:p w14:paraId="60A88A66" w14:textId="07B81A26" w:rsidR="00C90AAE" w:rsidRPr="006D2651" w:rsidRDefault="00C90AAE" w:rsidP="00C90AAE">
      <w:pPr>
        <w:spacing w:after="0"/>
        <w:rPr>
          <w:rFonts w:ascii="Times New Roman" w:hAnsi="Times New Roman"/>
          <w:sz w:val="20"/>
          <w:szCs w:val="20"/>
          <w:u w:val="single"/>
        </w:rPr>
      </w:pPr>
      <w:r w:rsidRPr="006D2651">
        <w:rPr>
          <w:rFonts w:ascii="Times New Roman" w:hAnsi="Times New Roman"/>
          <w:sz w:val="20"/>
          <w:szCs w:val="20"/>
          <w:u w:val="single"/>
        </w:rPr>
        <w:t>Notes:</w:t>
      </w:r>
    </w:p>
    <w:p w14:paraId="2AF8037F" w14:textId="38ABE311" w:rsidR="00C90AAE" w:rsidRPr="00C34994" w:rsidRDefault="00C90AAE" w:rsidP="00C90AAE">
      <w:pPr>
        <w:pStyle w:val="ListParagraph"/>
        <w:numPr>
          <w:ilvl w:val="0"/>
          <w:numId w:val="22"/>
        </w:numPr>
        <w:spacing w:after="0"/>
        <w:jc w:val="both"/>
        <w:rPr>
          <w:rFonts w:ascii="Times New Roman" w:hAnsi="Times New Roman"/>
          <w:sz w:val="20"/>
          <w:szCs w:val="20"/>
        </w:rPr>
      </w:pPr>
      <w:r w:rsidRPr="006D2651">
        <w:rPr>
          <w:rFonts w:ascii="Times New Roman" w:hAnsi="Times New Roman"/>
          <w:sz w:val="20"/>
          <w:szCs w:val="20"/>
        </w:rPr>
        <w:t>Copy of audited Balance Sheet to be attached, wherever applicable</w:t>
      </w:r>
    </w:p>
    <w:p w14:paraId="6CE5B19D" w14:textId="77777777" w:rsidR="00C90AAE" w:rsidRPr="006D2651" w:rsidRDefault="00C90AAE" w:rsidP="00C90AAE">
      <w:pPr>
        <w:pStyle w:val="ListParagraph"/>
        <w:numPr>
          <w:ilvl w:val="0"/>
          <w:numId w:val="22"/>
        </w:numPr>
        <w:spacing w:after="0"/>
        <w:jc w:val="both"/>
        <w:rPr>
          <w:rFonts w:ascii="Times New Roman" w:hAnsi="Times New Roman"/>
          <w:sz w:val="20"/>
          <w:szCs w:val="20"/>
        </w:rPr>
      </w:pPr>
      <w:r w:rsidRPr="006D2651">
        <w:rPr>
          <w:rFonts w:ascii="Times New Roman" w:hAnsi="Times New Roman"/>
          <w:sz w:val="20"/>
          <w:szCs w:val="20"/>
        </w:rPr>
        <w:t xml:space="preserve">In respect of actuals wherever figures are not matching with the audited books of accounts, a reconciliation with the books of accounts/audited trial balances duly certified by a practicing Chartered Accountant need be provided.  </w:t>
      </w:r>
    </w:p>
    <w:p w14:paraId="5DCBDACB" w14:textId="453DFF12" w:rsidR="00C90AAE" w:rsidRPr="006D2651" w:rsidRDefault="00C90AAE" w:rsidP="00C90AAE">
      <w:pPr>
        <w:jc w:val="center"/>
        <w:rPr>
          <w:rFonts w:ascii="Times New Roman" w:hAnsi="Times New Roman"/>
          <w:b/>
          <w:bCs/>
          <w:sz w:val="20"/>
          <w:szCs w:val="20"/>
        </w:rPr>
      </w:pPr>
    </w:p>
    <w:p w14:paraId="709597F4" w14:textId="77777777" w:rsidR="00C90AAE" w:rsidRPr="006D2651" w:rsidRDefault="00C90AAE" w:rsidP="00C90AAE">
      <w:pPr>
        <w:jc w:val="center"/>
        <w:rPr>
          <w:rFonts w:ascii="Times New Roman" w:hAnsi="Times New Roman"/>
          <w:b/>
          <w:bCs/>
          <w:sz w:val="20"/>
          <w:szCs w:val="20"/>
        </w:rPr>
      </w:pPr>
      <w:r w:rsidRPr="006D2651">
        <w:rPr>
          <w:rFonts w:ascii="Times New Roman" w:hAnsi="Times New Roman"/>
          <w:b/>
          <w:bCs/>
          <w:sz w:val="20"/>
          <w:szCs w:val="20"/>
        </w:rPr>
        <w:t>Attachment 2 to Schedule B</w:t>
      </w:r>
    </w:p>
    <w:p w14:paraId="35F34F4C" w14:textId="77777777" w:rsidR="00C90AAE" w:rsidRPr="006D2651" w:rsidRDefault="00C90AAE" w:rsidP="00C90AAE">
      <w:pPr>
        <w:spacing w:after="80"/>
        <w:jc w:val="center"/>
        <w:rPr>
          <w:rFonts w:ascii="Times New Roman" w:hAnsi="Times New Roman"/>
          <w:b/>
          <w:bCs/>
          <w:sz w:val="20"/>
          <w:szCs w:val="20"/>
        </w:rPr>
      </w:pPr>
      <w:r w:rsidRPr="006D2651">
        <w:rPr>
          <w:rFonts w:ascii="Times New Roman" w:hAnsi="Times New Roman"/>
          <w:b/>
          <w:bCs/>
          <w:sz w:val="20"/>
          <w:szCs w:val="20"/>
        </w:rPr>
        <w:t>Treatment of a fixed asset in the determination of return on total capital employed for petroleum and petroleum products pipeline tariff.</w:t>
      </w:r>
    </w:p>
    <w:p w14:paraId="5235E090"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basis of considering fixed assets in a petroleum and petroleum products pipeline in the determination of the return on total capital employed shall be as per the following norms: -</w:t>
      </w:r>
    </w:p>
    <w:p w14:paraId="77F4D8DD" w14:textId="77777777" w:rsidR="00C90AAE" w:rsidRPr="006D2651" w:rsidRDefault="00C90AAE" w:rsidP="00C90AAE">
      <w:pPr>
        <w:pStyle w:val="ListParagraph"/>
        <w:numPr>
          <w:ilvl w:val="0"/>
          <w:numId w:val="6"/>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A fixed asset in a petroleum and petroleum products pipeline is a tangible asset having a useful operating life of more than one year and is integral to the generation of revenues through petroleum and petroleum products pipeline tariff. Investment in securities, goodwill, current assets, accumulated loss not written–off, work-in-progress, etc. are not fixed assets. </w:t>
      </w:r>
    </w:p>
    <w:p w14:paraId="07308D5A" w14:textId="77777777" w:rsidR="00C90AAE" w:rsidRPr="006D2651" w:rsidRDefault="00C90AAE" w:rsidP="00C90AAE">
      <w:pPr>
        <w:pStyle w:val="ListParagraph"/>
        <w:numPr>
          <w:ilvl w:val="0"/>
          <w:numId w:val="6"/>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Any change in the historical cost of the fixed asset due to revaluation or capitalization of losses shall not be considered. However, cost incurred in improvements, modification, expansion or replacement of any fixed asset shall be considered in line with the treatment prescribed in the mandatory accounting standards of The Institute of Chartered Accountants of India. </w:t>
      </w:r>
    </w:p>
    <w:p w14:paraId="6CAB5AEF" w14:textId="77777777" w:rsidR="00C90AAE" w:rsidRPr="006D2651" w:rsidRDefault="00C90AAE" w:rsidP="00C90AAE">
      <w:pPr>
        <w:pStyle w:val="ListParagraph"/>
        <w:numPr>
          <w:ilvl w:val="0"/>
          <w:numId w:val="6"/>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Only the cost of land purchased and used for the putting the facilities essential to the petroleum and petroleum products pipeline shall be considered. Land purchased for any future use (such as for putting-up facilities required for expansion of capacity in petroleum and petroleum products pipeline for its extension) shall be considered only when used. </w:t>
      </w:r>
    </w:p>
    <w:p w14:paraId="04CC673B" w14:textId="77777777" w:rsidR="00C90AAE" w:rsidRPr="006D2651" w:rsidRDefault="00C90AAE" w:rsidP="00C90AAE">
      <w:pPr>
        <w:pStyle w:val="ListParagraph"/>
        <w:numPr>
          <w:ilvl w:val="0"/>
          <w:numId w:val="6"/>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A fixed asset shall be considered for return on capital employed on a “rolling basis” till the end of the economic life of the petroleum and petroleum products pipeline project, provided it is not de-commissioned. On de-commissioning of the fixed asset, the value realized on its sale or scrapping should be considered as a project inflow in the DCF calculations. In the terminal year of the economic life, the residual value of the fixed asset, which is the difference between the original cost less the amount of accumulated depreciation shall be treated as a project inflow in the DCF calculations for petroleum and petroleum products pipeline tariff. </w:t>
      </w:r>
    </w:p>
    <w:p w14:paraId="30A10532" w14:textId="77777777" w:rsidR="00C90AAE" w:rsidRPr="006D2651" w:rsidRDefault="00C90AAE" w:rsidP="00C90AAE">
      <w:pPr>
        <w:pStyle w:val="ListParagraph"/>
        <w:numPr>
          <w:ilvl w:val="0"/>
          <w:numId w:val="6"/>
        </w:numPr>
        <w:spacing w:after="80"/>
        <w:contextualSpacing w:val="0"/>
        <w:rPr>
          <w:rFonts w:ascii="Times New Roman" w:hAnsi="Times New Roman"/>
          <w:sz w:val="20"/>
          <w:szCs w:val="20"/>
        </w:rPr>
      </w:pPr>
      <w:r w:rsidRPr="006D2651">
        <w:rPr>
          <w:rFonts w:ascii="Times New Roman" w:hAnsi="Times New Roman"/>
          <w:sz w:val="20"/>
          <w:szCs w:val="20"/>
        </w:rPr>
        <w:t xml:space="preserve">Treatment of line-fill quantities in petroleum and petroleum products pipeline shall be as per the procedure indicated below: - </w:t>
      </w:r>
    </w:p>
    <w:p w14:paraId="2C5122EF" w14:textId="77777777" w:rsidR="00C90AAE" w:rsidRPr="006D2651" w:rsidRDefault="00C90AAE" w:rsidP="00C90AAE">
      <w:pPr>
        <w:pStyle w:val="ListParagraph"/>
        <w:numPr>
          <w:ilvl w:val="0"/>
          <w:numId w:val="7"/>
        </w:numPr>
        <w:spacing w:after="80"/>
        <w:contextualSpacing w:val="0"/>
        <w:jc w:val="both"/>
        <w:rPr>
          <w:rFonts w:ascii="Times New Roman" w:hAnsi="Times New Roman"/>
          <w:sz w:val="20"/>
          <w:szCs w:val="20"/>
        </w:rPr>
      </w:pPr>
      <w:r w:rsidRPr="006D2651">
        <w:rPr>
          <w:rFonts w:ascii="Times New Roman" w:hAnsi="Times New Roman"/>
          <w:sz w:val="20"/>
          <w:szCs w:val="20"/>
        </w:rPr>
        <w:t>Assessment of the quantity of petroleum and petroleum products pipeline required as line-fill in the petroleum and petroleum products pipeline as and when commissioned shall as be specified in the relevant regulations for the technical standards and specifications, including safety standards.</w:t>
      </w:r>
    </w:p>
    <w:p w14:paraId="3FB60783" w14:textId="77777777" w:rsidR="00C90AAE" w:rsidRPr="006D2651" w:rsidRDefault="00C90AAE" w:rsidP="00C90AAE">
      <w:pPr>
        <w:pStyle w:val="ListParagraph"/>
        <w:numPr>
          <w:ilvl w:val="0"/>
          <w:numId w:val="7"/>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The line-fill value of petroleum and petroleum products in petroleum and petroleum products pipeline and included in the total capital employed for determination of the weighted average </w:t>
      </w:r>
      <w:r w:rsidRPr="006D2651">
        <w:rPr>
          <w:rFonts w:ascii="Times New Roman" w:hAnsi="Times New Roman"/>
          <w:sz w:val="20"/>
          <w:szCs w:val="20"/>
        </w:rPr>
        <w:lastRenderedPageBreak/>
        <w:t xml:space="preserve">petroleum and petroleum products pipeline tariff shall be considered as a non-depreciating fixed asset and the value to remain fixed over the economic life of the project. </w:t>
      </w:r>
    </w:p>
    <w:p w14:paraId="454AFA84" w14:textId="5B159660" w:rsidR="00C90AAE" w:rsidRDefault="00C90AAE" w:rsidP="00C90AAE">
      <w:pPr>
        <w:pStyle w:val="ListParagraph"/>
        <w:numPr>
          <w:ilvl w:val="0"/>
          <w:numId w:val="7"/>
        </w:numPr>
        <w:spacing w:after="80"/>
        <w:contextualSpacing w:val="0"/>
        <w:jc w:val="both"/>
        <w:rPr>
          <w:rFonts w:ascii="Times New Roman" w:hAnsi="Times New Roman"/>
          <w:sz w:val="20"/>
          <w:szCs w:val="20"/>
        </w:rPr>
      </w:pPr>
      <w:r w:rsidRPr="006D2651">
        <w:rPr>
          <w:rFonts w:ascii="Times New Roman" w:hAnsi="Times New Roman"/>
          <w:sz w:val="20"/>
          <w:szCs w:val="20"/>
        </w:rPr>
        <w:t xml:space="preserve">The value of the line-fill volume shall be derived by multiplying the volume of line-fill by the average cost of petroleum and petroleum products at the point on injection of petroleum and petroleum products into the petroleum and petroleum products pipeline at the time of commissioning of the petroleum and petroleum products pipeline. </w:t>
      </w:r>
    </w:p>
    <w:p w14:paraId="6636D3E3" w14:textId="28476CC0" w:rsidR="00C34994" w:rsidRDefault="00C34994" w:rsidP="00C34994">
      <w:pPr>
        <w:pStyle w:val="ListParagraph"/>
        <w:spacing w:after="80"/>
        <w:ind w:left="1440"/>
        <w:contextualSpacing w:val="0"/>
        <w:jc w:val="both"/>
        <w:rPr>
          <w:rFonts w:ascii="Times New Roman" w:hAnsi="Times New Roman"/>
          <w:sz w:val="20"/>
          <w:szCs w:val="20"/>
        </w:rPr>
      </w:pPr>
    </w:p>
    <w:p w14:paraId="5723CF26" w14:textId="3DBC2609" w:rsidR="00C34994" w:rsidRDefault="00C34994" w:rsidP="00C34994">
      <w:pPr>
        <w:pStyle w:val="ListParagraph"/>
        <w:spacing w:after="80"/>
        <w:ind w:left="1440"/>
        <w:contextualSpacing w:val="0"/>
        <w:jc w:val="both"/>
        <w:rPr>
          <w:rFonts w:ascii="Times New Roman" w:hAnsi="Times New Roman"/>
          <w:sz w:val="20"/>
          <w:szCs w:val="20"/>
        </w:rPr>
      </w:pPr>
    </w:p>
    <w:p w14:paraId="760BF737" w14:textId="71B9BC05" w:rsidR="00C34994" w:rsidRDefault="00C34994" w:rsidP="00C34994">
      <w:pPr>
        <w:pStyle w:val="ListParagraph"/>
        <w:spacing w:after="80"/>
        <w:ind w:left="1440"/>
        <w:contextualSpacing w:val="0"/>
        <w:jc w:val="both"/>
        <w:rPr>
          <w:rFonts w:ascii="Times New Roman" w:hAnsi="Times New Roman"/>
          <w:sz w:val="20"/>
          <w:szCs w:val="20"/>
        </w:rPr>
      </w:pPr>
    </w:p>
    <w:p w14:paraId="7D6EF8E9" w14:textId="67BC9801" w:rsidR="00C34994" w:rsidRDefault="00C34994" w:rsidP="00C34994">
      <w:pPr>
        <w:pStyle w:val="ListParagraph"/>
        <w:spacing w:after="80"/>
        <w:ind w:left="1440"/>
        <w:contextualSpacing w:val="0"/>
        <w:jc w:val="both"/>
        <w:rPr>
          <w:rFonts w:ascii="Times New Roman" w:hAnsi="Times New Roman"/>
          <w:sz w:val="20"/>
          <w:szCs w:val="20"/>
        </w:rPr>
      </w:pPr>
    </w:p>
    <w:p w14:paraId="49204D2F" w14:textId="77777777" w:rsidR="00C34994" w:rsidRPr="006D2651" w:rsidRDefault="00C34994" w:rsidP="00C34994">
      <w:pPr>
        <w:pStyle w:val="ListParagraph"/>
        <w:spacing w:after="80"/>
        <w:ind w:left="1440"/>
        <w:contextualSpacing w:val="0"/>
        <w:jc w:val="both"/>
        <w:rPr>
          <w:rFonts w:ascii="Times New Roman" w:hAnsi="Times New Roman"/>
          <w:sz w:val="20"/>
          <w:szCs w:val="20"/>
        </w:rPr>
      </w:pPr>
    </w:p>
    <w:p w14:paraId="14D9677A" w14:textId="441D8030" w:rsidR="00C90AAE" w:rsidRPr="00C34994" w:rsidRDefault="00C90AAE" w:rsidP="00C90AAE">
      <w:pPr>
        <w:pStyle w:val="ListParagraph"/>
        <w:numPr>
          <w:ilvl w:val="0"/>
          <w:numId w:val="7"/>
        </w:numPr>
        <w:spacing w:after="80"/>
        <w:contextualSpacing w:val="0"/>
        <w:jc w:val="both"/>
        <w:rPr>
          <w:rFonts w:ascii="Times New Roman" w:hAnsi="Times New Roman"/>
          <w:sz w:val="20"/>
          <w:szCs w:val="20"/>
        </w:rPr>
      </w:pPr>
      <w:r w:rsidRPr="006D2651">
        <w:rPr>
          <w:rFonts w:ascii="Times New Roman" w:hAnsi="Times New Roman"/>
          <w:sz w:val="20"/>
          <w:szCs w:val="20"/>
        </w:rPr>
        <w:t>The salvage value of the line-fill volume at the end of the economic life of the project shall be equal to its value assessed at the time of its capitalization specified under sub-clause (b) and shall be considered as a project inflow.</w:t>
      </w:r>
    </w:p>
    <w:p w14:paraId="15D20AA1" w14:textId="77777777" w:rsidR="00C90AAE" w:rsidRPr="006D2651" w:rsidRDefault="00C90AAE" w:rsidP="00C90AAE">
      <w:pPr>
        <w:spacing w:after="80"/>
        <w:jc w:val="both"/>
        <w:rPr>
          <w:rFonts w:ascii="Times New Roman" w:hAnsi="Times New Roman"/>
          <w:sz w:val="4"/>
          <w:szCs w:val="4"/>
        </w:rPr>
      </w:pPr>
    </w:p>
    <w:p w14:paraId="35EE7B82" w14:textId="77777777" w:rsidR="00C90AAE" w:rsidRPr="006D2651" w:rsidRDefault="00C90AAE" w:rsidP="00C90AAE">
      <w:pPr>
        <w:jc w:val="center"/>
        <w:rPr>
          <w:rFonts w:ascii="Times New Roman" w:hAnsi="Times New Roman"/>
          <w:b/>
          <w:bCs/>
          <w:sz w:val="2"/>
          <w:szCs w:val="2"/>
        </w:rPr>
      </w:pPr>
    </w:p>
    <w:p w14:paraId="19050CD6" w14:textId="77777777" w:rsidR="00C90AAE" w:rsidRPr="006D2651" w:rsidRDefault="00C90AAE" w:rsidP="00C90AAE">
      <w:pPr>
        <w:jc w:val="center"/>
        <w:rPr>
          <w:rFonts w:ascii="Times New Roman" w:hAnsi="Times New Roman"/>
          <w:b/>
          <w:bCs/>
          <w:sz w:val="20"/>
          <w:szCs w:val="20"/>
        </w:rPr>
      </w:pPr>
      <w:r w:rsidRPr="006D2651">
        <w:rPr>
          <w:rFonts w:ascii="Times New Roman" w:hAnsi="Times New Roman"/>
          <w:b/>
          <w:bCs/>
          <w:sz w:val="20"/>
          <w:szCs w:val="20"/>
        </w:rPr>
        <w:t>Attachment 3 to Schedule B</w:t>
      </w:r>
    </w:p>
    <w:p w14:paraId="71CA22B7" w14:textId="77777777" w:rsidR="00C90AAE" w:rsidRPr="006D2651" w:rsidRDefault="00C90AAE" w:rsidP="00C90AAE">
      <w:pPr>
        <w:jc w:val="both"/>
        <w:rPr>
          <w:rFonts w:ascii="Times New Roman" w:hAnsi="Times New Roman"/>
          <w:b/>
          <w:sz w:val="20"/>
          <w:szCs w:val="20"/>
        </w:rPr>
      </w:pPr>
      <w:r w:rsidRPr="006D2651">
        <w:rPr>
          <w:rFonts w:ascii="Times New Roman" w:hAnsi="Times New Roman"/>
          <w:b/>
          <w:sz w:val="20"/>
          <w:szCs w:val="20"/>
        </w:rPr>
        <w:t>Illustration -1 for LPG pipeline</w:t>
      </w:r>
    </w:p>
    <w:p w14:paraId="72A2B06D"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An LPG pipeline with equivalent rail distance of 770 km transporting LPG is assumed to have an injection point at A and multiple tap-off points (TOP) at B, C and D. Product flow is assumed only from injection at A to TOP B which is at a distance of 770 km. The pipeline has commissioned after the notification of the Petroleum and Natural Gas Regulatory Board (Determination of Petroleum and Petroleum Products Pipeline Transportation Tariff) Regulations, 2010. </w:t>
      </w:r>
    </w:p>
    <w:p w14:paraId="66573FCE"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Petroleum products pipeline transportation tariffs for such pipelines till the date on which these regulations come into force are determined through benchmarking against basic notional railway freight on train load basis for equivalent rail distance along pipeline route. For LPG, the pipeline tariff is benchmarked at 100 per cent of basic notional railway freight under class 165.</w:t>
      </w:r>
    </w:p>
    <w:p w14:paraId="3C37A591"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capacity of the pipeline is considered as 2.67 MMTPA and diameter is considered as 12” and pipeline is assumed to have commenced its operations from 2017.</w:t>
      </w:r>
    </w:p>
    <w:p w14:paraId="3DD77C73" w14:textId="77777777" w:rsidR="00C90AAE" w:rsidRPr="006D2651" w:rsidRDefault="00C90AAE" w:rsidP="00C90AAE">
      <w:pPr>
        <w:spacing w:after="0"/>
        <w:jc w:val="both"/>
        <w:rPr>
          <w:rFonts w:ascii="Times New Roman" w:hAnsi="Times New Roman"/>
          <w:sz w:val="20"/>
          <w:szCs w:val="20"/>
        </w:rPr>
      </w:pPr>
      <w:r w:rsidRPr="006D2651">
        <w:rPr>
          <w:rFonts w:ascii="Times New Roman" w:hAnsi="Times New Roman"/>
          <w:sz w:val="20"/>
          <w:szCs w:val="20"/>
        </w:rPr>
        <w:t xml:space="preserve">The actual volumes of product transported have been considered basis normative volumes (in MMTPA) as per the table below:  </w:t>
      </w:r>
    </w:p>
    <w:tbl>
      <w:tblPr>
        <w:tblW w:w="5000" w:type="pct"/>
        <w:tblCellMar>
          <w:left w:w="29" w:type="dxa"/>
          <w:right w:w="29" w:type="dxa"/>
        </w:tblCellMar>
        <w:tblLook w:val="04A0" w:firstRow="1" w:lastRow="0" w:firstColumn="1" w:lastColumn="0" w:noHBand="0" w:noVBand="1"/>
      </w:tblPr>
      <w:tblGrid>
        <w:gridCol w:w="718"/>
        <w:gridCol w:w="720"/>
        <w:gridCol w:w="720"/>
        <w:gridCol w:w="720"/>
        <w:gridCol w:w="720"/>
        <w:gridCol w:w="720"/>
        <w:gridCol w:w="720"/>
        <w:gridCol w:w="720"/>
        <w:gridCol w:w="720"/>
        <w:gridCol w:w="720"/>
        <w:gridCol w:w="720"/>
        <w:gridCol w:w="720"/>
        <w:gridCol w:w="712"/>
      </w:tblGrid>
      <w:tr w:rsidR="00C90AAE" w:rsidRPr="006D2651" w14:paraId="0B3447CC" w14:textId="77777777" w:rsidTr="00A10F1B">
        <w:trPr>
          <w:trHeight w:val="35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E1A4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3D2C8B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86C0EA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Y3</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047A9FD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Y4</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F51E08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Y5</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331F7F7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Y6</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5A69218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Y7</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0E387EE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Y8</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2869409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8E0483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7F3FFC0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54B4E81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14:paraId="3B38C04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r>
      <w:tr w:rsidR="00C90AAE" w:rsidRPr="006D2651" w14:paraId="5AF1AD3C" w14:textId="77777777" w:rsidTr="00A10F1B">
        <w:trPr>
          <w:trHeight w:val="355"/>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6FB309D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0.6</w:t>
            </w:r>
          </w:p>
        </w:tc>
        <w:tc>
          <w:tcPr>
            <w:tcW w:w="385" w:type="pct"/>
            <w:tcBorders>
              <w:top w:val="nil"/>
              <w:left w:val="nil"/>
              <w:bottom w:val="single" w:sz="4" w:space="0" w:color="auto"/>
              <w:right w:val="single" w:sz="4" w:space="0" w:color="auto"/>
            </w:tcBorders>
            <w:shd w:val="clear" w:color="auto" w:fill="auto"/>
            <w:noWrap/>
            <w:vAlign w:val="center"/>
            <w:hideMark/>
          </w:tcPr>
          <w:p w14:paraId="428D67C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0.70</w:t>
            </w:r>
          </w:p>
        </w:tc>
        <w:tc>
          <w:tcPr>
            <w:tcW w:w="385" w:type="pct"/>
            <w:tcBorders>
              <w:top w:val="nil"/>
              <w:left w:val="nil"/>
              <w:bottom w:val="single" w:sz="4" w:space="0" w:color="auto"/>
              <w:right w:val="single" w:sz="4" w:space="0" w:color="auto"/>
            </w:tcBorders>
            <w:shd w:val="clear" w:color="auto" w:fill="auto"/>
            <w:noWrap/>
            <w:vAlign w:val="center"/>
            <w:hideMark/>
          </w:tcPr>
          <w:p w14:paraId="45D4167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0.80</w:t>
            </w:r>
          </w:p>
        </w:tc>
        <w:tc>
          <w:tcPr>
            <w:tcW w:w="385" w:type="pct"/>
            <w:tcBorders>
              <w:top w:val="nil"/>
              <w:left w:val="nil"/>
              <w:bottom w:val="single" w:sz="4" w:space="0" w:color="auto"/>
              <w:right w:val="single" w:sz="4" w:space="0" w:color="auto"/>
            </w:tcBorders>
            <w:shd w:val="clear" w:color="auto" w:fill="auto"/>
            <w:noWrap/>
            <w:vAlign w:val="center"/>
            <w:hideMark/>
          </w:tcPr>
          <w:p w14:paraId="746F8C4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0.90</w:t>
            </w:r>
          </w:p>
        </w:tc>
        <w:tc>
          <w:tcPr>
            <w:tcW w:w="385" w:type="pct"/>
            <w:tcBorders>
              <w:top w:val="nil"/>
              <w:left w:val="nil"/>
              <w:bottom w:val="single" w:sz="4" w:space="0" w:color="auto"/>
              <w:right w:val="single" w:sz="4" w:space="0" w:color="auto"/>
            </w:tcBorders>
            <w:shd w:val="clear" w:color="auto" w:fill="auto"/>
            <w:noWrap/>
            <w:vAlign w:val="center"/>
            <w:hideMark/>
          </w:tcPr>
          <w:p w14:paraId="76657BF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85" w:type="pct"/>
            <w:tcBorders>
              <w:top w:val="nil"/>
              <w:left w:val="nil"/>
              <w:bottom w:val="single" w:sz="4" w:space="0" w:color="auto"/>
              <w:right w:val="single" w:sz="4" w:space="0" w:color="auto"/>
            </w:tcBorders>
            <w:shd w:val="clear" w:color="auto" w:fill="auto"/>
            <w:noWrap/>
            <w:vAlign w:val="center"/>
            <w:hideMark/>
          </w:tcPr>
          <w:p w14:paraId="2E50F25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c>
          <w:tcPr>
            <w:tcW w:w="385" w:type="pct"/>
            <w:tcBorders>
              <w:top w:val="nil"/>
              <w:left w:val="nil"/>
              <w:bottom w:val="single" w:sz="4" w:space="0" w:color="auto"/>
              <w:right w:val="single" w:sz="4" w:space="0" w:color="auto"/>
            </w:tcBorders>
            <w:shd w:val="clear" w:color="auto" w:fill="auto"/>
            <w:noWrap/>
            <w:vAlign w:val="center"/>
            <w:hideMark/>
          </w:tcPr>
          <w:p w14:paraId="726ED8F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1.40</w:t>
            </w:r>
          </w:p>
        </w:tc>
        <w:tc>
          <w:tcPr>
            <w:tcW w:w="385" w:type="pct"/>
            <w:tcBorders>
              <w:top w:val="nil"/>
              <w:left w:val="nil"/>
              <w:bottom w:val="single" w:sz="4" w:space="0" w:color="auto"/>
              <w:right w:val="single" w:sz="4" w:space="0" w:color="auto"/>
            </w:tcBorders>
            <w:shd w:val="clear" w:color="auto" w:fill="auto"/>
            <w:noWrap/>
            <w:vAlign w:val="center"/>
            <w:hideMark/>
          </w:tcPr>
          <w:p w14:paraId="2185526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1.60</w:t>
            </w:r>
          </w:p>
        </w:tc>
        <w:tc>
          <w:tcPr>
            <w:tcW w:w="385" w:type="pct"/>
            <w:tcBorders>
              <w:top w:val="nil"/>
              <w:left w:val="nil"/>
              <w:bottom w:val="single" w:sz="4" w:space="0" w:color="auto"/>
              <w:right w:val="single" w:sz="4" w:space="0" w:color="auto"/>
            </w:tcBorders>
            <w:shd w:val="clear" w:color="auto" w:fill="auto"/>
            <w:noWrap/>
            <w:vAlign w:val="center"/>
            <w:hideMark/>
          </w:tcPr>
          <w:p w14:paraId="12B6B30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1.80</w:t>
            </w:r>
          </w:p>
        </w:tc>
        <w:tc>
          <w:tcPr>
            <w:tcW w:w="385" w:type="pct"/>
            <w:tcBorders>
              <w:top w:val="nil"/>
              <w:left w:val="nil"/>
              <w:bottom w:val="single" w:sz="4" w:space="0" w:color="auto"/>
              <w:right w:val="single" w:sz="4" w:space="0" w:color="auto"/>
            </w:tcBorders>
            <w:shd w:val="clear" w:color="auto" w:fill="auto"/>
            <w:noWrap/>
            <w:vAlign w:val="center"/>
            <w:hideMark/>
          </w:tcPr>
          <w:p w14:paraId="05FFC2B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5" w:type="pct"/>
            <w:tcBorders>
              <w:top w:val="nil"/>
              <w:left w:val="nil"/>
              <w:bottom w:val="single" w:sz="4" w:space="0" w:color="auto"/>
              <w:right w:val="single" w:sz="4" w:space="0" w:color="auto"/>
            </w:tcBorders>
            <w:shd w:val="clear" w:color="auto" w:fill="auto"/>
            <w:noWrap/>
            <w:vAlign w:val="center"/>
            <w:hideMark/>
          </w:tcPr>
          <w:p w14:paraId="3FDD4A1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5" w:type="pct"/>
            <w:tcBorders>
              <w:top w:val="nil"/>
              <w:left w:val="nil"/>
              <w:bottom w:val="single" w:sz="4" w:space="0" w:color="auto"/>
              <w:right w:val="single" w:sz="4" w:space="0" w:color="auto"/>
            </w:tcBorders>
            <w:shd w:val="clear" w:color="auto" w:fill="auto"/>
            <w:noWrap/>
            <w:vAlign w:val="center"/>
            <w:hideMark/>
          </w:tcPr>
          <w:p w14:paraId="276FE78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4" w:type="pct"/>
            <w:tcBorders>
              <w:top w:val="nil"/>
              <w:left w:val="nil"/>
              <w:bottom w:val="single" w:sz="4" w:space="0" w:color="auto"/>
              <w:right w:val="single" w:sz="4" w:space="0" w:color="auto"/>
            </w:tcBorders>
            <w:shd w:val="clear" w:color="auto" w:fill="auto"/>
            <w:noWrap/>
            <w:vAlign w:val="center"/>
            <w:hideMark/>
          </w:tcPr>
          <w:p w14:paraId="0B125FC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r>
    </w:tbl>
    <w:p w14:paraId="048FC35F" w14:textId="77777777" w:rsidR="00C90AAE" w:rsidRPr="006D2651" w:rsidRDefault="00C90AAE" w:rsidP="00C90AAE">
      <w:pPr>
        <w:spacing w:after="0"/>
        <w:jc w:val="both"/>
        <w:rPr>
          <w:rFonts w:ascii="Times New Roman" w:hAnsi="Times New Roman"/>
          <w:sz w:val="20"/>
          <w:szCs w:val="20"/>
        </w:rPr>
      </w:pPr>
    </w:p>
    <w:tbl>
      <w:tblPr>
        <w:tblW w:w="5000" w:type="pct"/>
        <w:tblLayout w:type="fixed"/>
        <w:tblCellMar>
          <w:left w:w="29" w:type="dxa"/>
          <w:right w:w="29" w:type="dxa"/>
        </w:tblCellMar>
        <w:tblLook w:val="04A0" w:firstRow="1" w:lastRow="0" w:firstColumn="1" w:lastColumn="0" w:noHBand="0" w:noVBand="1"/>
      </w:tblPr>
      <w:tblGrid>
        <w:gridCol w:w="779"/>
        <w:gridCol w:w="779"/>
        <w:gridCol w:w="780"/>
        <w:gridCol w:w="780"/>
        <w:gridCol w:w="780"/>
        <w:gridCol w:w="780"/>
        <w:gridCol w:w="780"/>
        <w:gridCol w:w="780"/>
        <w:gridCol w:w="780"/>
        <w:gridCol w:w="780"/>
        <w:gridCol w:w="780"/>
        <w:gridCol w:w="772"/>
      </w:tblGrid>
      <w:tr w:rsidR="00C90AAE" w:rsidRPr="006D2651" w14:paraId="6C0F76AD" w14:textId="77777777" w:rsidTr="00A10F1B">
        <w:trPr>
          <w:trHeight w:val="355"/>
        </w:trPr>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6CE8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96EFC8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1DA597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50A76B0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1C1868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38525EC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B0AD68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9D5CC6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1A0F0B1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E2A623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B072D3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6D5EE1F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3999E6CF" w14:textId="77777777" w:rsidTr="00A10F1B">
        <w:trPr>
          <w:trHeight w:val="355"/>
        </w:trPr>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8C2A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0A6091F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35CC1F3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72D5AE0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0A82663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47970DE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08FC9E2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5E4AF13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7C15932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62BBA29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5358C60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0FB1F89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r>
    </w:tbl>
    <w:p w14:paraId="60387102" w14:textId="77777777" w:rsidR="00C90AAE" w:rsidRPr="006D2651" w:rsidRDefault="00C90AAE" w:rsidP="00C90AAE">
      <w:pPr>
        <w:spacing w:before="240"/>
        <w:jc w:val="both"/>
        <w:rPr>
          <w:rFonts w:ascii="Times New Roman" w:eastAsia="Times New Roman" w:hAnsi="Times New Roman"/>
          <w:color w:val="000000"/>
          <w:sz w:val="20"/>
          <w:szCs w:val="20"/>
          <w:lang w:val="en-GB" w:eastAsia="en-GB"/>
        </w:rPr>
      </w:pPr>
      <w:r w:rsidRPr="006D2651">
        <w:rPr>
          <w:rFonts w:ascii="Times New Roman" w:hAnsi="Times New Roman"/>
          <w:sz w:val="20"/>
          <w:szCs w:val="20"/>
        </w:rPr>
        <w:t xml:space="preserve">The capex has been assumed at ₹ 1,478 crore and </w:t>
      </w:r>
      <w:proofErr w:type="spellStart"/>
      <w:r w:rsidRPr="006D2651">
        <w:rPr>
          <w:rFonts w:ascii="Times New Roman" w:hAnsi="Times New Roman"/>
          <w:sz w:val="20"/>
          <w:szCs w:val="20"/>
        </w:rPr>
        <w:t>opex</w:t>
      </w:r>
      <w:proofErr w:type="spellEnd"/>
      <w:r w:rsidRPr="006D2651">
        <w:rPr>
          <w:rFonts w:ascii="Times New Roman" w:hAnsi="Times New Roman"/>
          <w:sz w:val="20"/>
          <w:szCs w:val="20"/>
        </w:rPr>
        <w:t xml:space="preserve"> is assumed at ₹ 77 crore for the first year with an escalation of 3 per cent per year. The tariff rates from FY 2017 to FY 2024 based on railway tariff are as follows:</w:t>
      </w:r>
    </w:p>
    <w:tbl>
      <w:tblPr>
        <w:tblW w:w="5000" w:type="pct"/>
        <w:tblLook w:val="04A0" w:firstRow="1" w:lastRow="0" w:firstColumn="1" w:lastColumn="0" w:noHBand="0" w:noVBand="1"/>
      </w:tblPr>
      <w:tblGrid>
        <w:gridCol w:w="2383"/>
        <w:gridCol w:w="1273"/>
        <w:gridCol w:w="1423"/>
        <w:gridCol w:w="1423"/>
        <w:gridCol w:w="1424"/>
        <w:gridCol w:w="1424"/>
      </w:tblGrid>
      <w:tr w:rsidR="00C90AAE" w:rsidRPr="006D2651" w14:paraId="62040117" w14:textId="77777777" w:rsidTr="00A10F1B">
        <w:trPr>
          <w:trHeight w:val="206"/>
        </w:trPr>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44373"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Year</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6BAC77EE"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2017</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5281C7B1"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2018</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57D6B03C"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2019(*)</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6233CCF4"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2020</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784AA0B4"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2021</w:t>
            </w:r>
          </w:p>
        </w:tc>
      </w:tr>
      <w:tr w:rsidR="00C90AAE" w:rsidRPr="006D2651" w14:paraId="6B264D04" w14:textId="77777777" w:rsidTr="00A10F1B">
        <w:trPr>
          <w:trHeight w:val="206"/>
        </w:trPr>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B82E"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Railway Freight (₹/MT)</w:t>
            </w:r>
          </w:p>
        </w:tc>
        <w:tc>
          <w:tcPr>
            <w:tcW w:w="715" w:type="pct"/>
            <w:tcBorders>
              <w:top w:val="nil"/>
              <w:left w:val="nil"/>
              <w:bottom w:val="single" w:sz="4" w:space="0" w:color="auto"/>
              <w:right w:val="single" w:sz="4" w:space="0" w:color="auto"/>
            </w:tcBorders>
            <w:shd w:val="clear" w:color="auto" w:fill="auto"/>
            <w:vAlign w:val="center"/>
          </w:tcPr>
          <w:p w14:paraId="06689AF9"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nil"/>
              <w:left w:val="nil"/>
              <w:bottom w:val="single" w:sz="4" w:space="0" w:color="auto"/>
              <w:right w:val="single" w:sz="4" w:space="0" w:color="auto"/>
            </w:tcBorders>
            <w:shd w:val="clear" w:color="auto" w:fill="auto"/>
            <w:vAlign w:val="center"/>
          </w:tcPr>
          <w:p w14:paraId="760E0943"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nil"/>
              <w:left w:val="nil"/>
              <w:bottom w:val="single" w:sz="4" w:space="0" w:color="auto"/>
              <w:right w:val="single" w:sz="4" w:space="0" w:color="auto"/>
            </w:tcBorders>
            <w:shd w:val="clear" w:color="auto" w:fill="auto"/>
            <w:vAlign w:val="center"/>
          </w:tcPr>
          <w:p w14:paraId="13864222"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nil"/>
              <w:left w:val="nil"/>
              <w:bottom w:val="single" w:sz="4" w:space="0" w:color="auto"/>
              <w:right w:val="single" w:sz="4" w:space="0" w:color="auto"/>
            </w:tcBorders>
            <w:shd w:val="clear" w:color="auto" w:fill="auto"/>
            <w:vAlign w:val="center"/>
          </w:tcPr>
          <w:p w14:paraId="20A3D052"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c>
          <w:tcPr>
            <w:tcW w:w="795" w:type="pct"/>
            <w:tcBorders>
              <w:top w:val="nil"/>
              <w:left w:val="nil"/>
              <w:bottom w:val="single" w:sz="4" w:space="0" w:color="auto"/>
              <w:right w:val="single" w:sz="4" w:space="0" w:color="auto"/>
            </w:tcBorders>
            <w:shd w:val="clear" w:color="auto" w:fill="auto"/>
            <w:vAlign w:val="center"/>
          </w:tcPr>
          <w:p w14:paraId="477B9595"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r>
      <w:tr w:rsidR="00C90AAE" w:rsidRPr="006D2651" w14:paraId="0ADB9FD4" w14:textId="77777777" w:rsidTr="00A10F1B">
        <w:trPr>
          <w:trHeight w:val="206"/>
        </w:trPr>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59521"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F16E46F"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single" w:sz="4" w:space="0" w:color="auto"/>
              <w:left w:val="nil"/>
              <w:bottom w:val="single" w:sz="4" w:space="0" w:color="auto"/>
              <w:right w:val="single" w:sz="4" w:space="0" w:color="auto"/>
            </w:tcBorders>
            <w:shd w:val="clear" w:color="auto" w:fill="auto"/>
            <w:vAlign w:val="center"/>
          </w:tcPr>
          <w:p w14:paraId="3C46612C"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single" w:sz="4" w:space="0" w:color="auto"/>
              <w:left w:val="nil"/>
              <w:bottom w:val="single" w:sz="4" w:space="0" w:color="auto"/>
              <w:right w:val="single" w:sz="4" w:space="0" w:color="auto"/>
            </w:tcBorders>
            <w:shd w:val="clear" w:color="auto" w:fill="auto"/>
            <w:vAlign w:val="center"/>
          </w:tcPr>
          <w:p w14:paraId="730AAF92"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1,244.60</w:t>
            </w:r>
          </w:p>
        </w:tc>
        <w:tc>
          <w:tcPr>
            <w:tcW w:w="795" w:type="pct"/>
            <w:tcBorders>
              <w:top w:val="single" w:sz="4" w:space="0" w:color="auto"/>
              <w:left w:val="nil"/>
              <w:bottom w:val="single" w:sz="4" w:space="0" w:color="auto"/>
              <w:right w:val="single" w:sz="4" w:space="0" w:color="auto"/>
            </w:tcBorders>
            <w:shd w:val="clear" w:color="auto" w:fill="auto"/>
            <w:vAlign w:val="center"/>
          </w:tcPr>
          <w:p w14:paraId="7BFE6507"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c>
          <w:tcPr>
            <w:tcW w:w="795" w:type="pct"/>
            <w:tcBorders>
              <w:top w:val="single" w:sz="4" w:space="0" w:color="auto"/>
              <w:left w:val="nil"/>
              <w:bottom w:val="single" w:sz="4" w:space="0" w:color="auto"/>
              <w:right w:val="single" w:sz="4" w:space="0" w:color="auto"/>
            </w:tcBorders>
            <w:shd w:val="clear" w:color="auto" w:fill="auto"/>
            <w:vAlign w:val="center"/>
          </w:tcPr>
          <w:p w14:paraId="6976BA72"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r>
      <w:tr w:rsidR="00C90AAE" w:rsidRPr="006D2651" w14:paraId="25506F5E" w14:textId="77777777" w:rsidTr="00A10F1B">
        <w:trPr>
          <w:trHeight w:val="206"/>
        </w:trPr>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F3786"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(₹/MT/Km)</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5F51C94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1.62</w:t>
            </w:r>
          </w:p>
        </w:tc>
        <w:tc>
          <w:tcPr>
            <w:tcW w:w="795" w:type="pct"/>
            <w:tcBorders>
              <w:top w:val="single" w:sz="4" w:space="0" w:color="auto"/>
              <w:left w:val="nil"/>
              <w:bottom w:val="single" w:sz="4" w:space="0" w:color="auto"/>
              <w:right w:val="single" w:sz="4" w:space="0" w:color="auto"/>
            </w:tcBorders>
            <w:shd w:val="clear" w:color="auto" w:fill="auto"/>
            <w:vAlign w:val="center"/>
          </w:tcPr>
          <w:p w14:paraId="5FA45C9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1.62</w:t>
            </w:r>
          </w:p>
        </w:tc>
        <w:tc>
          <w:tcPr>
            <w:tcW w:w="795" w:type="pct"/>
            <w:tcBorders>
              <w:top w:val="single" w:sz="4" w:space="0" w:color="auto"/>
              <w:left w:val="nil"/>
              <w:bottom w:val="single" w:sz="4" w:space="0" w:color="auto"/>
              <w:right w:val="single" w:sz="4" w:space="0" w:color="auto"/>
            </w:tcBorders>
            <w:shd w:val="clear" w:color="auto" w:fill="auto"/>
            <w:vAlign w:val="center"/>
          </w:tcPr>
          <w:p w14:paraId="3F813A5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1.62</w:t>
            </w:r>
          </w:p>
        </w:tc>
        <w:tc>
          <w:tcPr>
            <w:tcW w:w="795" w:type="pct"/>
            <w:tcBorders>
              <w:top w:val="single" w:sz="4" w:space="0" w:color="auto"/>
              <w:left w:val="nil"/>
              <w:bottom w:val="single" w:sz="4" w:space="0" w:color="auto"/>
              <w:right w:val="single" w:sz="4" w:space="0" w:color="auto"/>
            </w:tcBorders>
            <w:shd w:val="clear" w:color="auto" w:fill="auto"/>
            <w:vAlign w:val="center"/>
          </w:tcPr>
          <w:p w14:paraId="5BA6FC0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c>
          <w:tcPr>
            <w:tcW w:w="795" w:type="pct"/>
            <w:tcBorders>
              <w:top w:val="single" w:sz="4" w:space="0" w:color="auto"/>
              <w:left w:val="nil"/>
              <w:bottom w:val="single" w:sz="4" w:space="0" w:color="auto"/>
              <w:right w:val="single" w:sz="4" w:space="0" w:color="auto"/>
            </w:tcBorders>
            <w:shd w:val="clear" w:color="auto" w:fill="auto"/>
            <w:vAlign w:val="center"/>
          </w:tcPr>
          <w:p w14:paraId="301EB69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r>
    </w:tbl>
    <w:p w14:paraId="19CD23D2" w14:textId="77777777" w:rsidR="00C90AAE" w:rsidRPr="006D2651" w:rsidRDefault="00C90AAE" w:rsidP="00C90AAE">
      <w:pPr>
        <w:spacing w:after="80"/>
        <w:jc w:val="both"/>
        <w:rPr>
          <w:rFonts w:ascii="Times New Roman" w:eastAsia="Times New Roman" w:hAnsi="Times New Roman"/>
          <w:sz w:val="20"/>
          <w:szCs w:val="20"/>
          <w:lang w:val="en-GB" w:eastAsia="en-GB"/>
        </w:rPr>
      </w:pPr>
      <w:r w:rsidRPr="006D2651">
        <w:rPr>
          <w:rFonts w:ascii="Times New Roman" w:hAnsi="Times New Roman"/>
          <w:sz w:val="20"/>
          <w:szCs w:val="20"/>
        </w:rPr>
        <w:t xml:space="preserve">(*) The Railway tariff of FY2018 has been considered as same that of FY 2018 for convenience purpose though said railway tariff was revised w.e.f. 01.11.2018 </w:t>
      </w:r>
    </w:p>
    <w:tbl>
      <w:tblPr>
        <w:tblW w:w="5000" w:type="pct"/>
        <w:tblLook w:val="04A0" w:firstRow="1" w:lastRow="0" w:firstColumn="1" w:lastColumn="0" w:noHBand="0" w:noVBand="1"/>
      </w:tblPr>
      <w:tblGrid>
        <w:gridCol w:w="2956"/>
        <w:gridCol w:w="2132"/>
        <w:gridCol w:w="2132"/>
        <w:gridCol w:w="2130"/>
      </w:tblGrid>
      <w:tr w:rsidR="00C90AAE" w:rsidRPr="006D2651" w14:paraId="0AA4760B" w14:textId="77777777" w:rsidTr="00A10F1B">
        <w:trPr>
          <w:trHeight w:val="206"/>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EB61"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lastRenderedPageBreak/>
              <w:t>Year</w:t>
            </w:r>
          </w:p>
        </w:tc>
        <w:tc>
          <w:tcPr>
            <w:tcW w:w="1140" w:type="pct"/>
            <w:tcBorders>
              <w:top w:val="single" w:sz="4" w:space="0" w:color="auto"/>
              <w:left w:val="nil"/>
              <w:bottom w:val="single" w:sz="4" w:space="0" w:color="auto"/>
              <w:right w:val="single" w:sz="4" w:space="0" w:color="auto"/>
            </w:tcBorders>
            <w:shd w:val="clear" w:color="auto" w:fill="auto"/>
            <w:vAlign w:val="center"/>
          </w:tcPr>
          <w:p w14:paraId="5BC9DC00"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2022</w:t>
            </w:r>
          </w:p>
        </w:tc>
        <w:tc>
          <w:tcPr>
            <w:tcW w:w="1140" w:type="pct"/>
            <w:tcBorders>
              <w:top w:val="single" w:sz="4" w:space="0" w:color="auto"/>
              <w:left w:val="nil"/>
              <w:bottom w:val="single" w:sz="4" w:space="0" w:color="auto"/>
              <w:right w:val="single" w:sz="4" w:space="0" w:color="auto"/>
            </w:tcBorders>
            <w:shd w:val="clear" w:color="auto" w:fill="auto"/>
            <w:vAlign w:val="center"/>
          </w:tcPr>
          <w:p w14:paraId="6A09DE43"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2023</w:t>
            </w:r>
          </w:p>
        </w:tc>
        <w:tc>
          <w:tcPr>
            <w:tcW w:w="1140" w:type="pct"/>
            <w:tcBorders>
              <w:top w:val="single" w:sz="4" w:space="0" w:color="auto"/>
              <w:left w:val="nil"/>
              <w:bottom w:val="single" w:sz="4" w:space="0" w:color="auto"/>
              <w:right w:val="single" w:sz="4" w:space="0" w:color="auto"/>
            </w:tcBorders>
            <w:shd w:val="clear" w:color="auto" w:fill="auto"/>
            <w:vAlign w:val="center"/>
          </w:tcPr>
          <w:p w14:paraId="17A0B09F"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2024</w:t>
            </w:r>
          </w:p>
        </w:tc>
      </w:tr>
      <w:tr w:rsidR="00C90AAE" w:rsidRPr="006D2651" w14:paraId="0140F60E" w14:textId="77777777" w:rsidTr="00A10F1B">
        <w:trPr>
          <w:trHeight w:val="206"/>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32E6"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Railway Freight (₹/MT)</w:t>
            </w:r>
          </w:p>
        </w:tc>
        <w:tc>
          <w:tcPr>
            <w:tcW w:w="1140" w:type="pct"/>
            <w:tcBorders>
              <w:top w:val="nil"/>
              <w:left w:val="nil"/>
              <w:bottom w:val="single" w:sz="4" w:space="0" w:color="auto"/>
              <w:right w:val="single" w:sz="4" w:space="0" w:color="auto"/>
            </w:tcBorders>
            <w:vAlign w:val="center"/>
          </w:tcPr>
          <w:p w14:paraId="601A9684"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c>
          <w:tcPr>
            <w:tcW w:w="1140" w:type="pct"/>
            <w:tcBorders>
              <w:top w:val="nil"/>
              <w:left w:val="nil"/>
              <w:bottom w:val="single" w:sz="4" w:space="0" w:color="auto"/>
              <w:right w:val="single" w:sz="4" w:space="0" w:color="auto"/>
            </w:tcBorders>
            <w:vAlign w:val="center"/>
          </w:tcPr>
          <w:p w14:paraId="770D348B" w14:textId="77777777" w:rsidR="00C90AAE" w:rsidRPr="006D2651" w:rsidRDefault="00C90AAE" w:rsidP="00A10F1B">
            <w:pPr>
              <w:spacing w:after="0"/>
              <w:jc w:val="center"/>
              <w:rPr>
                <w:rFonts w:ascii="Times New Roman" w:eastAsia="Times New Roman" w:hAnsi="Times New Roman"/>
                <w:color w:val="000000"/>
                <w:sz w:val="20"/>
                <w:szCs w:val="20"/>
                <w:lang w:val="en-GB" w:eastAsia="en-GB"/>
              </w:rPr>
            </w:pPr>
            <w:r w:rsidRPr="006D2651">
              <w:rPr>
                <w:rFonts w:ascii="Times New Roman" w:hAnsi="Times New Roman"/>
                <w:color w:val="000000"/>
                <w:sz w:val="20"/>
                <w:szCs w:val="20"/>
              </w:rPr>
              <w:t>1,353.50</w:t>
            </w:r>
          </w:p>
        </w:tc>
        <w:tc>
          <w:tcPr>
            <w:tcW w:w="1140" w:type="pct"/>
            <w:tcBorders>
              <w:top w:val="nil"/>
              <w:left w:val="nil"/>
              <w:bottom w:val="single" w:sz="4" w:space="0" w:color="auto"/>
              <w:right w:val="single" w:sz="4" w:space="0" w:color="auto"/>
            </w:tcBorders>
            <w:vAlign w:val="center"/>
          </w:tcPr>
          <w:p w14:paraId="50A5BC9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1,353.50</w:t>
            </w:r>
          </w:p>
        </w:tc>
      </w:tr>
      <w:tr w:rsidR="00C90AAE" w:rsidRPr="006D2651" w14:paraId="32E84AEB" w14:textId="77777777" w:rsidTr="00A10F1B">
        <w:trPr>
          <w:trHeight w:val="206"/>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C1A9A"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w:t>
            </w:r>
          </w:p>
        </w:tc>
        <w:tc>
          <w:tcPr>
            <w:tcW w:w="1140" w:type="pct"/>
            <w:tcBorders>
              <w:top w:val="single" w:sz="4" w:space="0" w:color="auto"/>
              <w:left w:val="nil"/>
              <w:bottom w:val="single" w:sz="4" w:space="0" w:color="auto"/>
              <w:right w:val="single" w:sz="4" w:space="0" w:color="auto"/>
            </w:tcBorders>
            <w:shd w:val="clear" w:color="auto" w:fill="auto"/>
            <w:vAlign w:val="center"/>
          </w:tcPr>
          <w:p w14:paraId="1B05638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1,353.50</w:t>
            </w:r>
          </w:p>
        </w:tc>
        <w:tc>
          <w:tcPr>
            <w:tcW w:w="1140" w:type="pct"/>
            <w:tcBorders>
              <w:top w:val="single" w:sz="4" w:space="0" w:color="auto"/>
              <w:left w:val="nil"/>
              <w:bottom w:val="single" w:sz="4" w:space="0" w:color="auto"/>
              <w:right w:val="single" w:sz="4" w:space="0" w:color="auto"/>
            </w:tcBorders>
            <w:shd w:val="clear" w:color="auto" w:fill="auto"/>
            <w:vAlign w:val="center"/>
          </w:tcPr>
          <w:p w14:paraId="38C838B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1,353.50</w:t>
            </w:r>
          </w:p>
        </w:tc>
        <w:tc>
          <w:tcPr>
            <w:tcW w:w="1140" w:type="pct"/>
            <w:tcBorders>
              <w:top w:val="single" w:sz="4" w:space="0" w:color="auto"/>
              <w:left w:val="nil"/>
              <w:bottom w:val="single" w:sz="4" w:space="0" w:color="auto"/>
              <w:right w:val="single" w:sz="4" w:space="0" w:color="auto"/>
            </w:tcBorders>
            <w:vAlign w:val="center"/>
          </w:tcPr>
          <w:p w14:paraId="7435115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1,353.50</w:t>
            </w:r>
          </w:p>
        </w:tc>
      </w:tr>
      <w:tr w:rsidR="00C90AAE" w:rsidRPr="006D2651" w14:paraId="415CCCE0" w14:textId="77777777" w:rsidTr="00A10F1B">
        <w:trPr>
          <w:trHeight w:val="206"/>
        </w:trPr>
        <w:tc>
          <w:tcPr>
            <w:tcW w:w="1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EF84F"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(₹/MT/Km)</w:t>
            </w:r>
          </w:p>
        </w:tc>
        <w:tc>
          <w:tcPr>
            <w:tcW w:w="1140" w:type="pct"/>
            <w:tcBorders>
              <w:top w:val="single" w:sz="4" w:space="0" w:color="auto"/>
              <w:left w:val="nil"/>
              <w:bottom w:val="single" w:sz="4" w:space="0" w:color="auto"/>
              <w:right w:val="single" w:sz="4" w:space="0" w:color="auto"/>
            </w:tcBorders>
            <w:shd w:val="clear" w:color="auto" w:fill="auto"/>
            <w:vAlign w:val="center"/>
          </w:tcPr>
          <w:p w14:paraId="4BD8A77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c>
          <w:tcPr>
            <w:tcW w:w="1140" w:type="pct"/>
            <w:tcBorders>
              <w:top w:val="single" w:sz="4" w:space="0" w:color="auto"/>
              <w:left w:val="nil"/>
              <w:bottom w:val="single" w:sz="4" w:space="0" w:color="auto"/>
              <w:right w:val="single" w:sz="4" w:space="0" w:color="auto"/>
            </w:tcBorders>
            <w:shd w:val="clear" w:color="auto" w:fill="auto"/>
            <w:vAlign w:val="center"/>
          </w:tcPr>
          <w:p w14:paraId="519E80D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c>
          <w:tcPr>
            <w:tcW w:w="1140" w:type="pct"/>
            <w:tcBorders>
              <w:top w:val="single" w:sz="4" w:space="0" w:color="auto"/>
              <w:left w:val="nil"/>
              <w:bottom w:val="single" w:sz="4" w:space="0" w:color="auto"/>
              <w:right w:val="single" w:sz="4" w:space="0" w:color="auto"/>
            </w:tcBorders>
            <w:vAlign w:val="center"/>
          </w:tcPr>
          <w:p w14:paraId="48C1797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r>
    </w:tbl>
    <w:p w14:paraId="202C8BA3" w14:textId="77777777" w:rsidR="00C90AAE" w:rsidRPr="006D2651" w:rsidRDefault="00C90AAE" w:rsidP="00C90AAE">
      <w:pPr>
        <w:spacing w:before="240"/>
        <w:rPr>
          <w:rFonts w:ascii="Times New Roman" w:hAnsi="Times New Roman"/>
          <w:sz w:val="20"/>
          <w:szCs w:val="20"/>
        </w:rPr>
      </w:pPr>
      <w:r w:rsidRPr="006D2651">
        <w:rPr>
          <w:rFonts w:ascii="Times New Roman" w:hAnsi="Times New Roman"/>
          <w:sz w:val="20"/>
          <w:szCs w:val="20"/>
        </w:rPr>
        <w:t>Cash flows for these 8 years are as per the table below:</w:t>
      </w:r>
    </w:p>
    <w:tbl>
      <w:tblPr>
        <w:tblW w:w="9035" w:type="dxa"/>
        <w:tblLook w:val="04A0" w:firstRow="1" w:lastRow="0" w:firstColumn="1" w:lastColumn="0" w:noHBand="0" w:noVBand="1"/>
      </w:tblPr>
      <w:tblGrid>
        <w:gridCol w:w="2783"/>
        <w:gridCol w:w="1578"/>
        <w:gridCol w:w="1243"/>
        <w:gridCol w:w="858"/>
        <w:gridCol w:w="821"/>
        <w:gridCol w:w="821"/>
        <w:gridCol w:w="931"/>
      </w:tblGrid>
      <w:tr w:rsidR="00C90AAE" w:rsidRPr="006D2651" w14:paraId="0661F84E" w14:textId="77777777" w:rsidTr="00A10F1B">
        <w:trPr>
          <w:trHeight w:val="260"/>
          <w:tblHeader/>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B305"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578" w:type="dxa"/>
            <w:tcBorders>
              <w:top w:val="single" w:sz="4" w:space="0" w:color="auto"/>
              <w:left w:val="nil"/>
              <w:bottom w:val="single" w:sz="4" w:space="0" w:color="auto"/>
              <w:right w:val="single" w:sz="4" w:space="0" w:color="auto"/>
            </w:tcBorders>
            <w:shd w:val="clear" w:color="auto" w:fill="auto"/>
            <w:vAlign w:val="center"/>
          </w:tcPr>
          <w:p w14:paraId="57E1B99B"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53A4"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 -1</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00877660"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67D4F267"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6F6435BA"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Y3</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26E23D8"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Y4</w:t>
            </w:r>
          </w:p>
        </w:tc>
      </w:tr>
      <w:tr w:rsidR="00C90AAE" w:rsidRPr="006D2651" w14:paraId="250CAEF4"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777F6BEC"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Pipeline Tariff (₹/MT/km)</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6E5C47A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5A28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55A87B7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1.62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3B966CF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1.62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14DDF6B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1.62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24DFDC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1.76</w:t>
            </w:r>
          </w:p>
        </w:tc>
      </w:tr>
      <w:tr w:rsidR="00C90AAE" w:rsidRPr="006D2651" w14:paraId="15DCEEDD"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72A0984F"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Inflow</w:t>
            </w:r>
          </w:p>
        </w:tc>
        <w:tc>
          <w:tcPr>
            <w:tcW w:w="1578" w:type="dxa"/>
            <w:tcBorders>
              <w:top w:val="nil"/>
              <w:left w:val="single" w:sz="4" w:space="0" w:color="auto"/>
              <w:bottom w:val="single" w:sz="4" w:space="0" w:color="auto"/>
              <w:right w:val="single" w:sz="4" w:space="0" w:color="auto"/>
            </w:tcBorders>
            <w:shd w:val="clear" w:color="auto" w:fill="auto"/>
            <w:vAlign w:val="center"/>
          </w:tcPr>
          <w:p w14:paraId="16000E74"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1B37467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32962FC6"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21" w:type="dxa"/>
            <w:tcBorders>
              <w:top w:val="nil"/>
              <w:left w:val="nil"/>
              <w:bottom w:val="single" w:sz="4" w:space="0" w:color="auto"/>
              <w:right w:val="single" w:sz="4" w:space="0" w:color="auto"/>
            </w:tcBorders>
            <w:shd w:val="clear" w:color="auto" w:fill="auto"/>
            <w:noWrap/>
            <w:vAlign w:val="center"/>
            <w:hideMark/>
          </w:tcPr>
          <w:p w14:paraId="46B386C9"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21" w:type="dxa"/>
            <w:tcBorders>
              <w:top w:val="nil"/>
              <w:left w:val="nil"/>
              <w:bottom w:val="single" w:sz="4" w:space="0" w:color="auto"/>
              <w:right w:val="single" w:sz="4" w:space="0" w:color="auto"/>
            </w:tcBorders>
            <w:shd w:val="clear" w:color="auto" w:fill="auto"/>
            <w:noWrap/>
            <w:vAlign w:val="center"/>
            <w:hideMark/>
          </w:tcPr>
          <w:p w14:paraId="7046AE46"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6298AACA"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152530AF"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57C441D7"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Revenues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1F1EBFB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A* Volume</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79AE2E9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58" w:type="dxa"/>
            <w:tcBorders>
              <w:top w:val="nil"/>
              <w:left w:val="nil"/>
              <w:bottom w:val="single" w:sz="4" w:space="0" w:color="auto"/>
              <w:right w:val="single" w:sz="4" w:space="0" w:color="auto"/>
            </w:tcBorders>
            <w:shd w:val="clear" w:color="auto" w:fill="auto"/>
            <w:noWrap/>
            <w:vAlign w:val="center"/>
            <w:hideMark/>
          </w:tcPr>
          <w:p w14:paraId="2A3F3A6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74.84</w:t>
            </w:r>
          </w:p>
        </w:tc>
        <w:tc>
          <w:tcPr>
            <w:tcW w:w="821" w:type="dxa"/>
            <w:tcBorders>
              <w:top w:val="nil"/>
              <w:left w:val="nil"/>
              <w:bottom w:val="single" w:sz="4" w:space="0" w:color="auto"/>
              <w:right w:val="single" w:sz="4" w:space="0" w:color="auto"/>
            </w:tcBorders>
            <w:shd w:val="clear" w:color="auto" w:fill="auto"/>
            <w:noWrap/>
            <w:vAlign w:val="center"/>
            <w:hideMark/>
          </w:tcPr>
          <w:p w14:paraId="56AFE3D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87.32</w:t>
            </w:r>
          </w:p>
        </w:tc>
        <w:tc>
          <w:tcPr>
            <w:tcW w:w="821" w:type="dxa"/>
            <w:tcBorders>
              <w:top w:val="nil"/>
              <w:left w:val="nil"/>
              <w:bottom w:val="single" w:sz="4" w:space="0" w:color="auto"/>
              <w:right w:val="single" w:sz="4" w:space="0" w:color="auto"/>
            </w:tcBorders>
            <w:shd w:val="clear" w:color="auto" w:fill="auto"/>
            <w:noWrap/>
            <w:vAlign w:val="center"/>
            <w:hideMark/>
          </w:tcPr>
          <w:p w14:paraId="34C3D2C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99.79</w:t>
            </w:r>
          </w:p>
        </w:tc>
        <w:tc>
          <w:tcPr>
            <w:tcW w:w="931" w:type="dxa"/>
            <w:tcBorders>
              <w:top w:val="nil"/>
              <w:left w:val="nil"/>
              <w:bottom w:val="single" w:sz="4" w:space="0" w:color="auto"/>
              <w:right w:val="single" w:sz="4" w:space="0" w:color="auto"/>
            </w:tcBorders>
            <w:shd w:val="clear" w:color="auto" w:fill="auto"/>
            <w:noWrap/>
            <w:vAlign w:val="center"/>
            <w:hideMark/>
          </w:tcPr>
          <w:p w14:paraId="577A97F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121.97</w:t>
            </w:r>
          </w:p>
        </w:tc>
      </w:tr>
      <w:tr w:rsidR="00C90AAE" w:rsidRPr="006D2651" w14:paraId="1C52F62B"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4EC95B67"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Outflow</w:t>
            </w:r>
          </w:p>
        </w:tc>
        <w:tc>
          <w:tcPr>
            <w:tcW w:w="1578" w:type="dxa"/>
            <w:tcBorders>
              <w:top w:val="nil"/>
              <w:left w:val="single" w:sz="4" w:space="0" w:color="auto"/>
              <w:bottom w:val="single" w:sz="4" w:space="0" w:color="auto"/>
              <w:right w:val="single" w:sz="4" w:space="0" w:color="auto"/>
            </w:tcBorders>
            <w:shd w:val="clear" w:color="auto" w:fill="auto"/>
            <w:vAlign w:val="center"/>
          </w:tcPr>
          <w:p w14:paraId="1DC4503E"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0F471B7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35F65065"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21" w:type="dxa"/>
            <w:tcBorders>
              <w:top w:val="nil"/>
              <w:left w:val="nil"/>
              <w:bottom w:val="single" w:sz="4" w:space="0" w:color="auto"/>
              <w:right w:val="single" w:sz="4" w:space="0" w:color="auto"/>
            </w:tcBorders>
            <w:shd w:val="clear" w:color="auto" w:fill="auto"/>
            <w:noWrap/>
            <w:vAlign w:val="center"/>
            <w:hideMark/>
          </w:tcPr>
          <w:p w14:paraId="4576FF3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21" w:type="dxa"/>
            <w:tcBorders>
              <w:top w:val="nil"/>
              <w:left w:val="nil"/>
              <w:bottom w:val="single" w:sz="4" w:space="0" w:color="auto"/>
              <w:right w:val="single" w:sz="4" w:space="0" w:color="auto"/>
            </w:tcBorders>
            <w:shd w:val="clear" w:color="auto" w:fill="auto"/>
            <w:noWrap/>
            <w:vAlign w:val="center"/>
            <w:hideMark/>
          </w:tcPr>
          <w:p w14:paraId="0128E61A"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19102B1F"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61093EC6"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35BA8D8D"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Capex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50D525B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C</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1C14A43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1,478.40</w:t>
            </w:r>
          </w:p>
        </w:tc>
        <w:tc>
          <w:tcPr>
            <w:tcW w:w="858" w:type="dxa"/>
            <w:tcBorders>
              <w:top w:val="nil"/>
              <w:left w:val="nil"/>
              <w:bottom w:val="single" w:sz="4" w:space="0" w:color="auto"/>
              <w:right w:val="single" w:sz="4" w:space="0" w:color="auto"/>
            </w:tcBorders>
            <w:shd w:val="clear" w:color="auto" w:fill="auto"/>
            <w:noWrap/>
            <w:vAlign w:val="center"/>
            <w:hideMark/>
          </w:tcPr>
          <w:p w14:paraId="5EEC977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21" w:type="dxa"/>
            <w:tcBorders>
              <w:top w:val="nil"/>
              <w:left w:val="nil"/>
              <w:bottom w:val="single" w:sz="4" w:space="0" w:color="auto"/>
              <w:right w:val="single" w:sz="4" w:space="0" w:color="auto"/>
            </w:tcBorders>
            <w:shd w:val="clear" w:color="auto" w:fill="auto"/>
            <w:noWrap/>
            <w:vAlign w:val="center"/>
            <w:hideMark/>
          </w:tcPr>
          <w:p w14:paraId="357A8C2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21" w:type="dxa"/>
            <w:tcBorders>
              <w:top w:val="nil"/>
              <w:left w:val="nil"/>
              <w:bottom w:val="single" w:sz="4" w:space="0" w:color="auto"/>
              <w:right w:val="single" w:sz="4" w:space="0" w:color="auto"/>
            </w:tcBorders>
            <w:shd w:val="clear" w:color="auto" w:fill="auto"/>
            <w:noWrap/>
            <w:vAlign w:val="center"/>
            <w:hideMark/>
          </w:tcPr>
          <w:p w14:paraId="395EFC7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931" w:type="dxa"/>
            <w:tcBorders>
              <w:top w:val="nil"/>
              <w:left w:val="nil"/>
              <w:bottom w:val="single" w:sz="4" w:space="0" w:color="auto"/>
              <w:right w:val="single" w:sz="4" w:space="0" w:color="auto"/>
            </w:tcBorders>
            <w:shd w:val="clear" w:color="auto" w:fill="auto"/>
            <w:noWrap/>
            <w:vAlign w:val="center"/>
            <w:hideMark/>
          </w:tcPr>
          <w:p w14:paraId="0C096F8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r>
      <w:tr w:rsidR="00C90AAE" w:rsidRPr="006D2651" w14:paraId="7B9D4DBF"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3ABA27DE"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129845B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D</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76B8588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58" w:type="dxa"/>
            <w:tcBorders>
              <w:top w:val="nil"/>
              <w:left w:val="nil"/>
              <w:bottom w:val="single" w:sz="4" w:space="0" w:color="auto"/>
              <w:right w:val="single" w:sz="4" w:space="0" w:color="auto"/>
            </w:tcBorders>
            <w:shd w:val="clear" w:color="auto" w:fill="auto"/>
            <w:noWrap/>
            <w:vAlign w:val="center"/>
            <w:hideMark/>
          </w:tcPr>
          <w:p w14:paraId="1929DA7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77.00</w:t>
            </w:r>
          </w:p>
        </w:tc>
        <w:tc>
          <w:tcPr>
            <w:tcW w:w="821" w:type="dxa"/>
            <w:tcBorders>
              <w:top w:val="nil"/>
              <w:left w:val="nil"/>
              <w:bottom w:val="single" w:sz="4" w:space="0" w:color="auto"/>
              <w:right w:val="single" w:sz="4" w:space="0" w:color="auto"/>
            </w:tcBorders>
            <w:shd w:val="clear" w:color="auto" w:fill="auto"/>
            <w:noWrap/>
            <w:vAlign w:val="center"/>
            <w:hideMark/>
          </w:tcPr>
          <w:p w14:paraId="75AFA8F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79.31</w:t>
            </w:r>
          </w:p>
        </w:tc>
        <w:tc>
          <w:tcPr>
            <w:tcW w:w="821" w:type="dxa"/>
            <w:tcBorders>
              <w:top w:val="nil"/>
              <w:left w:val="nil"/>
              <w:bottom w:val="single" w:sz="4" w:space="0" w:color="auto"/>
              <w:right w:val="single" w:sz="4" w:space="0" w:color="auto"/>
            </w:tcBorders>
            <w:shd w:val="clear" w:color="auto" w:fill="auto"/>
            <w:noWrap/>
            <w:vAlign w:val="center"/>
            <w:hideMark/>
          </w:tcPr>
          <w:p w14:paraId="6EF2682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81.69</w:t>
            </w:r>
          </w:p>
        </w:tc>
        <w:tc>
          <w:tcPr>
            <w:tcW w:w="931" w:type="dxa"/>
            <w:tcBorders>
              <w:top w:val="nil"/>
              <w:left w:val="nil"/>
              <w:bottom w:val="single" w:sz="4" w:space="0" w:color="auto"/>
              <w:right w:val="single" w:sz="4" w:space="0" w:color="auto"/>
            </w:tcBorders>
            <w:shd w:val="clear" w:color="auto" w:fill="auto"/>
            <w:noWrap/>
            <w:vAlign w:val="center"/>
            <w:hideMark/>
          </w:tcPr>
          <w:p w14:paraId="6493227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84.14</w:t>
            </w:r>
          </w:p>
        </w:tc>
      </w:tr>
      <w:tr w:rsidR="00C90AAE" w:rsidRPr="006D2651" w14:paraId="644D0A7B"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5CBC8C86"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Net cash flow Pre-Tax for project IRR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4867DF8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 C - D</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53F5FDC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(1,478.40)</w:t>
            </w:r>
          </w:p>
        </w:tc>
        <w:tc>
          <w:tcPr>
            <w:tcW w:w="858" w:type="dxa"/>
            <w:tcBorders>
              <w:top w:val="nil"/>
              <w:left w:val="nil"/>
              <w:bottom w:val="single" w:sz="4" w:space="0" w:color="auto"/>
              <w:right w:val="single" w:sz="4" w:space="0" w:color="auto"/>
            </w:tcBorders>
            <w:shd w:val="clear" w:color="auto" w:fill="auto"/>
            <w:noWrap/>
            <w:vAlign w:val="center"/>
            <w:hideMark/>
          </w:tcPr>
          <w:p w14:paraId="1F1591B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(2.16)</w:t>
            </w:r>
          </w:p>
        </w:tc>
        <w:tc>
          <w:tcPr>
            <w:tcW w:w="821" w:type="dxa"/>
            <w:tcBorders>
              <w:top w:val="nil"/>
              <w:left w:val="nil"/>
              <w:bottom w:val="single" w:sz="4" w:space="0" w:color="auto"/>
              <w:right w:val="single" w:sz="4" w:space="0" w:color="auto"/>
            </w:tcBorders>
            <w:shd w:val="clear" w:color="auto" w:fill="auto"/>
            <w:noWrap/>
            <w:vAlign w:val="center"/>
            <w:hideMark/>
          </w:tcPr>
          <w:p w14:paraId="1982D0F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8.01</w:t>
            </w:r>
          </w:p>
        </w:tc>
        <w:tc>
          <w:tcPr>
            <w:tcW w:w="821" w:type="dxa"/>
            <w:tcBorders>
              <w:top w:val="nil"/>
              <w:left w:val="nil"/>
              <w:bottom w:val="single" w:sz="4" w:space="0" w:color="auto"/>
              <w:right w:val="single" w:sz="4" w:space="0" w:color="auto"/>
            </w:tcBorders>
            <w:shd w:val="clear" w:color="auto" w:fill="auto"/>
            <w:noWrap/>
            <w:vAlign w:val="center"/>
            <w:hideMark/>
          </w:tcPr>
          <w:p w14:paraId="4A97B79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18.10</w:t>
            </w:r>
          </w:p>
        </w:tc>
        <w:tc>
          <w:tcPr>
            <w:tcW w:w="931" w:type="dxa"/>
            <w:tcBorders>
              <w:top w:val="nil"/>
              <w:left w:val="nil"/>
              <w:bottom w:val="single" w:sz="4" w:space="0" w:color="auto"/>
              <w:right w:val="single" w:sz="4" w:space="0" w:color="auto"/>
            </w:tcBorders>
            <w:shd w:val="clear" w:color="auto" w:fill="auto"/>
            <w:noWrap/>
            <w:vAlign w:val="center"/>
            <w:hideMark/>
          </w:tcPr>
          <w:p w14:paraId="396B4BF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37.83</w:t>
            </w:r>
          </w:p>
        </w:tc>
      </w:tr>
    </w:tbl>
    <w:p w14:paraId="376254DC" w14:textId="06F8F540" w:rsidR="00C90AAE" w:rsidRPr="006D2651" w:rsidRDefault="00C90AAE" w:rsidP="00C90AAE">
      <w:pPr>
        <w:spacing w:after="80"/>
        <w:jc w:val="both"/>
        <w:rPr>
          <w:rFonts w:ascii="Times New Roman" w:hAnsi="Times New Roman"/>
          <w:sz w:val="20"/>
          <w:szCs w:val="20"/>
        </w:rPr>
      </w:pPr>
    </w:p>
    <w:tbl>
      <w:tblPr>
        <w:tblW w:w="8114" w:type="dxa"/>
        <w:tblLook w:val="04A0" w:firstRow="1" w:lastRow="0" w:firstColumn="1" w:lastColumn="0" w:noHBand="0" w:noVBand="1"/>
      </w:tblPr>
      <w:tblGrid>
        <w:gridCol w:w="2830"/>
        <w:gridCol w:w="1560"/>
        <w:gridCol w:w="931"/>
        <w:gridCol w:w="931"/>
        <w:gridCol w:w="931"/>
        <w:gridCol w:w="931"/>
      </w:tblGrid>
      <w:tr w:rsidR="00C90AAE" w:rsidRPr="006D2651" w14:paraId="310296C5" w14:textId="77777777" w:rsidTr="00A10F1B">
        <w:trPr>
          <w:trHeight w:val="260"/>
          <w:tblHead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9B176"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E9D4CF"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695D3FA"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CF2024C"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Y6</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B4F0DB3"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Y7</w:t>
            </w:r>
          </w:p>
        </w:tc>
        <w:tc>
          <w:tcPr>
            <w:tcW w:w="931" w:type="dxa"/>
            <w:tcBorders>
              <w:top w:val="single" w:sz="4" w:space="0" w:color="auto"/>
              <w:left w:val="nil"/>
              <w:bottom w:val="single" w:sz="4" w:space="0" w:color="auto"/>
              <w:right w:val="single" w:sz="4" w:space="0" w:color="auto"/>
            </w:tcBorders>
            <w:shd w:val="clear" w:color="auto" w:fill="auto"/>
            <w:vAlign w:val="center"/>
          </w:tcPr>
          <w:p w14:paraId="52CD820A"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Y8</w:t>
            </w:r>
          </w:p>
        </w:tc>
      </w:tr>
      <w:tr w:rsidR="00C90AAE" w:rsidRPr="006D2651" w14:paraId="2EDA55F3"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B5ED4F0"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Pipeline Tariff (₹/MT/km)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1BDF1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18496DE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1.76</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540967B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1.76</w:t>
            </w:r>
          </w:p>
        </w:tc>
        <w:tc>
          <w:tcPr>
            <w:tcW w:w="931" w:type="dxa"/>
            <w:tcBorders>
              <w:top w:val="single" w:sz="4" w:space="0" w:color="auto"/>
              <w:left w:val="nil"/>
              <w:bottom w:val="single" w:sz="4" w:space="0" w:color="auto"/>
              <w:right w:val="single" w:sz="4" w:space="0" w:color="auto"/>
            </w:tcBorders>
            <w:noWrap/>
            <w:vAlign w:val="center"/>
            <w:hideMark/>
          </w:tcPr>
          <w:p w14:paraId="07DCD7E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1.76</w:t>
            </w:r>
          </w:p>
        </w:tc>
        <w:tc>
          <w:tcPr>
            <w:tcW w:w="931" w:type="dxa"/>
            <w:tcBorders>
              <w:top w:val="single" w:sz="4" w:space="0" w:color="auto"/>
              <w:left w:val="nil"/>
              <w:bottom w:val="single" w:sz="4" w:space="0" w:color="auto"/>
              <w:right w:val="single" w:sz="4" w:space="0" w:color="auto"/>
            </w:tcBorders>
            <w:vAlign w:val="center"/>
          </w:tcPr>
          <w:p w14:paraId="3E53C5D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1.76</w:t>
            </w:r>
          </w:p>
        </w:tc>
      </w:tr>
      <w:tr w:rsidR="00C90AAE" w:rsidRPr="006D2651" w14:paraId="0F5BF28E"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9201AA1"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Inflow</w:t>
            </w:r>
          </w:p>
        </w:tc>
        <w:tc>
          <w:tcPr>
            <w:tcW w:w="1560" w:type="dxa"/>
            <w:tcBorders>
              <w:top w:val="nil"/>
              <w:left w:val="single" w:sz="4" w:space="0" w:color="auto"/>
              <w:bottom w:val="single" w:sz="4" w:space="0" w:color="auto"/>
              <w:right w:val="single" w:sz="4" w:space="0" w:color="auto"/>
            </w:tcBorders>
            <w:shd w:val="clear" w:color="auto" w:fill="auto"/>
            <w:vAlign w:val="center"/>
          </w:tcPr>
          <w:p w14:paraId="2FAA53A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3458EEB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52CB88CC"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noWrap/>
            <w:vAlign w:val="center"/>
            <w:hideMark/>
          </w:tcPr>
          <w:p w14:paraId="654BE687"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vAlign w:val="center"/>
          </w:tcPr>
          <w:p w14:paraId="2BD7C2E1"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7BB17980"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574E9A2"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Revenues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33C09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B=A* Volume</w:t>
            </w:r>
          </w:p>
        </w:tc>
        <w:tc>
          <w:tcPr>
            <w:tcW w:w="931" w:type="dxa"/>
            <w:tcBorders>
              <w:top w:val="nil"/>
              <w:left w:val="nil"/>
              <w:bottom w:val="single" w:sz="4" w:space="0" w:color="auto"/>
              <w:right w:val="single" w:sz="4" w:space="0" w:color="auto"/>
            </w:tcBorders>
            <w:shd w:val="clear" w:color="auto" w:fill="auto"/>
            <w:noWrap/>
            <w:vAlign w:val="center"/>
            <w:hideMark/>
          </w:tcPr>
          <w:p w14:paraId="397071C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135.52</w:t>
            </w:r>
          </w:p>
        </w:tc>
        <w:tc>
          <w:tcPr>
            <w:tcW w:w="931" w:type="dxa"/>
            <w:tcBorders>
              <w:top w:val="nil"/>
              <w:left w:val="nil"/>
              <w:bottom w:val="single" w:sz="4" w:space="0" w:color="auto"/>
              <w:right w:val="single" w:sz="4" w:space="0" w:color="auto"/>
            </w:tcBorders>
            <w:shd w:val="clear" w:color="auto" w:fill="auto"/>
            <w:noWrap/>
            <w:vAlign w:val="center"/>
            <w:hideMark/>
          </w:tcPr>
          <w:p w14:paraId="29C9514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162.62</w:t>
            </w:r>
          </w:p>
        </w:tc>
        <w:tc>
          <w:tcPr>
            <w:tcW w:w="931" w:type="dxa"/>
            <w:tcBorders>
              <w:top w:val="nil"/>
              <w:left w:val="nil"/>
              <w:bottom w:val="single" w:sz="4" w:space="0" w:color="auto"/>
              <w:right w:val="single" w:sz="4" w:space="0" w:color="auto"/>
            </w:tcBorders>
            <w:noWrap/>
            <w:vAlign w:val="center"/>
            <w:hideMark/>
          </w:tcPr>
          <w:p w14:paraId="2B401DB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189.73</w:t>
            </w:r>
          </w:p>
        </w:tc>
        <w:tc>
          <w:tcPr>
            <w:tcW w:w="931" w:type="dxa"/>
            <w:tcBorders>
              <w:top w:val="nil"/>
              <w:left w:val="nil"/>
              <w:bottom w:val="single" w:sz="4" w:space="0" w:color="auto"/>
              <w:right w:val="single" w:sz="4" w:space="0" w:color="auto"/>
            </w:tcBorders>
            <w:vAlign w:val="center"/>
          </w:tcPr>
          <w:p w14:paraId="55C1825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216.83</w:t>
            </w:r>
          </w:p>
        </w:tc>
      </w:tr>
      <w:tr w:rsidR="00C90AAE" w:rsidRPr="006D2651" w14:paraId="787557D1"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28F0B0D"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Outflow</w:t>
            </w:r>
          </w:p>
        </w:tc>
        <w:tc>
          <w:tcPr>
            <w:tcW w:w="1560" w:type="dxa"/>
            <w:tcBorders>
              <w:top w:val="nil"/>
              <w:left w:val="single" w:sz="4" w:space="0" w:color="auto"/>
              <w:bottom w:val="single" w:sz="4" w:space="0" w:color="auto"/>
              <w:right w:val="single" w:sz="4" w:space="0" w:color="auto"/>
            </w:tcBorders>
            <w:shd w:val="clear" w:color="auto" w:fill="auto"/>
            <w:vAlign w:val="center"/>
          </w:tcPr>
          <w:p w14:paraId="24A7CCC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546722EA"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shd w:val="clear" w:color="auto" w:fill="auto"/>
            <w:noWrap/>
            <w:vAlign w:val="center"/>
            <w:hideMark/>
          </w:tcPr>
          <w:p w14:paraId="13B34F3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noWrap/>
            <w:vAlign w:val="center"/>
            <w:hideMark/>
          </w:tcPr>
          <w:p w14:paraId="60F1B8A8"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31" w:type="dxa"/>
            <w:tcBorders>
              <w:top w:val="nil"/>
              <w:left w:val="nil"/>
              <w:bottom w:val="single" w:sz="4" w:space="0" w:color="auto"/>
              <w:right w:val="single" w:sz="4" w:space="0" w:color="auto"/>
            </w:tcBorders>
            <w:vAlign w:val="center"/>
          </w:tcPr>
          <w:p w14:paraId="3445E52A"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0570C0AC"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8B6EBC7"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Capex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801F1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C</w:t>
            </w:r>
          </w:p>
        </w:tc>
        <w:tc>
          <w:tcPr>
            <w:tcW w:w="931" w:type="dxa"/>
            <w:tcBorders>
              <w:top w:val="nil"/>
              <w:left w:val="nil"/>
              <w:bottom w:val="single" w:sz="4" w:space="0" w:color="auto"/>
              <w:right w:val="single" w:sz="4" w:space="0" w:color="auto"/>
            </w:tcBorders>
            <w:shd w:val="clear" w:color="auto" w:fill="auto"/>
            <w:noWrap/>
            <w:vAlign w:val="center"/>
            <w:hideMark/>
          </w:tcPr>
          <w:p w14:paraId="4A34869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931" w:type="dxa"/>
            <w:tcBorders>
              <w:top w:val="nil"/>
              <w:left w:val="nil"/>
              <w:bottom w:val="single" w:sz="4" w:space="0" w:color="auto"/>
              <w:right w:val="single" w:sz="4" w:space="0" w:color="auto"/>
            </w:tcBorders>
            <w:shd w:val="clear" w:color="auto" w:fill="auto"/>
            <w:noWrap/>
            <w:vAlign w:val="center"/>
            <w:hideMark/>
          </w:tcPr>
          <w:p w14:paraId="5C1D6B7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931" w:type="dxa"/>
            <w:tcBorders>
              <w:top w:val="nil"/>
              <w:left w:val="nil"/>
              <w:bottom w:val="single" w:sz="4" w:space="0" w:color="auto"/>
              <w:right w:val="single" w:sz="4" w:space="0" w:color="auto"/>
            </w:tcBorders>
            <w:noWrap/>
            <w:vAlign w:val="center"/>
            <w:hideMark/>
          </w:tcPr>
          <w:p w14:paraId="6FB1593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931" w:type="dxa"/>
            <w:tcBorders>
              <w:top w:val="nil"/>
              <w:left w:val="nil"/>
              <w:bottom w:val="single" w:sz="4" w:space="0" w:color="auto"/>
              <w:right w:val="single" w:sz="4" w:space="0" w:color="auto"/>
            </w:tcBorders>
            <w:vAlign w:val="center"/>
          </w:tcPr>
          <w:p w14:paraId="01B7DB9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r>
      <w:tr w:rsidR="00C90AAE" w:rsidRPr="006D2651" w14:paraId="480BE094"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19C4786"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7370C39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D</w:t>
            </w:r>
          </w:p>
        </w:tc>
        <w:tc>
          <w:tcPr>
            <w:tcW w:w="931" w:type="dxa"/>
            <w:tcBorders>
              <w:top w:val="nil"/>
              <w:left w:val="nil"/>
              <w:bottom w:val="single" w:sz="4" w:space="0" w:color="auto"/>
              <w:right w:val="single" w:sz="4" w:space="0" w:color="auto"/>
            </w:tcBorders>
            <w:shd w:val="clear" w:color="auto" w:fill="auto"/>
            <w:noWrap/>
            <w:vAlign w:val="center"/>
            <w:hideMark/>
          </w:tcPr>
          <w:p w14:paraId="480DA78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86.66</w:t>
            </w:r>
          </w:p>
        </w:tc>
        <w:tc>
          <w:tcPr>
            <w:tcW w:w="931" w:type="dxa"/>
            <w:tcBorders>
              <w:top w:val="nil"/>
              <w:left w:val="nil"/>
              <w:bottom w:val="single" w:sz="4" w:space="0" w:color="auto"/>
              <w:right w:val="single" w:sz="4" w:space="0" w:color="auto"/>
            </w:tcBorders>
            <w:shd w:val="clear" w:color="auto" w:fill="auto"/>
            <w:noWrap/>
            <w:vAlign w:val="center"/>
            <w:hideMark/>
          </w:tcPr>
          <w:p w14:paraId="4EE05D6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89.26</w:t>
            </w:r>
          </w:p>
        </w:tc>
        <w:tc>
          <w:tcPr>
            <w:tcW w:w="931" w:type="dxa"/>
            <w:tcBorders>
              <w:top w:val="nil"/>
              <w:left w:val="nil"/>
              <w:bottom w:val="single" w:sz="4" w:space="0" w:color="auto"/>
              <w:right w:val="single" w:sz="4" w:space="0" w:color="auto"/>
            </w:tcBorders>
            <w:noWrap/>
            <w:vAlign w:val="center"/>
            <w:hideMark/>
          </w:tcPr>
          <w:p w14:paraId="106CFCB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91.94</w:t>
            </w:r>
          </w:p>
        </w:tc>
        <w:tc>
          <w:tcPr>
            <w:tcW w:w="931" w:type="dxa"/>
            <w:tcBorders>
              <w:top w:val="nil"/>
              <w:left w:val="nil"/>
              <w:bottom w:val="single" w:sz="4" w:space="0" w:color="auto"/>
              <w:right w:val="single" w:sz="4" w:space="0" w:color="auto"/>
            </w:tcBorders>
            <w:vAlign w:val="center"/>
          </w:tcPr>
          <w:p w14:paraId="40278AF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94.70</w:t>
            </w:r>
          </w:p>
        </w:tc>
      </w:tr>
      <w:tr w:rsidR="00C90AAE" w:rsidRPr="006D2651" w14:paraId="5396AA76"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AB37159"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Net cash flow Pre-Tax for project IRR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2110262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 C - D</w:t>
            </w:r>
          </w:p>
        </w:tc>
        <w:tc>
          <w:tcPr>
            <w:tcW w:w="931" w:type="dxa"/>
            <w:tcBorders>
              <w:top w:val="nil"/>
              <w:left w:val="nil"/>
              <w:bottom w:val="single" w:sz="4" w:space="0" w:color="auto"/>
              <w:right w:val="single" w:sz="4" w:space="0" w:color="auto"/>
            </w:tcBorders>
            <w:shd w:val="clear" w:color="auto" w:fill="auto"/>
            <w:noWrap/>
            <w:vAlign w:val="center"/>
            <w:hideMark/>
          </w:tcPr>
          <w:p w14:paraId="03951A5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48.86</w:t>
            </w:r>
          </w:p>
        </w:tc>
        <w:tc>
          <w:tcPr>
            <w:tcW w:w="931" w:type="dxa"/>
            <w:tcBorders>
              <w:top w:val="nil"/>
              <w:left w:val="nil"/>
              <w:bottom w:val="single" w:sz="4" w:space="0" w:color="auto"/>
              <w:right w:val="single" w:sz="4" w:space="0" w:color="auto"/>
            </w:tcBorders>
            <w:shd w:val="clear" w:color="auto" w:fill="auto"/>
            <w:noWrap/>
            <w:vAlign w:val="center"/>
            <w:hideMark/>
          </w:tcPr>
          <w:p w14:paraId="0A2113F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73.36</w:t>
            </w:r>
          </w:p>
        </w:tc>
        <w:tc>
          <w:tcPr>
            <w:tcW w:w="931" w:type="dxa"/>
            <w:tcBorders>
              <w:top w:val="nil"/>
              <w:left w:val="nil"/>
              <w:bottom w:val="single" w:sz="4" w:space="0" w:color="auto"/>
              <w:right w:val="single" w:sz="4" w:space="0" w:color="auto"/>
            </w:tcBorders>
            <w:noWrap/>
            <w:vAlign w:val="center"/>
            <w:hideMark/>
          </w:tcPr>
          <w:p w14:paraId="32089F3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97.79</w:t>
            </w:r>
          </w:p>
        </w:tc>
        <w:tc>
          <w:tcPr>
            <w:tcW w:w="931" w:type="dxa"/>
            <w:tcBorders>
              <w:top w:val="nil"/>
              <w:left w:val="nil"/>
              <w:bottom w:val="single" w:sz="4" w:space="0" w:color="auto"/>
              <w:right w:val="single" w:sz="4" w:space="0" w:color="auto"/>
            </w:tcBorders>
            <w:vAlign w:val="center"/>
          </w:tcPr>
          <w:p w14:paraId="0FD0AD5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122.13</w:t>
            </w:r>
          </w:p>
        </w:tc>
      </w:tr>
    </w:tbl>
    <w:p w14:paraId="56165220" w14:textId="77777777" w:rsidR="00C90AAE" w:rsidRPr="006D2651" w:rsidRDefault="00C90AAE" w:rsidP="00C90AAE">
      <w:pPr>
        <w:spacing w:before="160" w:after="0"/>
        <w:jc w:val="both"/>
        <w:rPr>
          <w:rFonts w:ascii="Times New Roman" w:hAnsi="Times New Roman"/>
          <w:sz w:val="20"/>
          <w:szCs w:val="20"/>
        </w:rPr>
      </w:pPr>
      <w:r w:rsidRPr="006D2651">
        <w:rPr>
          <w:rFonts w:ascii="Times New Roman" w:hAnsi="Times New Roman"/>
          <w:sz w:val="20"/>
          <w:szCs w:val="20"/>
        </w:rPr>
        <w:t>The tariff rates from FY 2025 onwards are calculated on cost plus basis. The cashflows (primarily revenue and in turn tariffs) are calculated such that project returns are capped at 12 per cent post tax over the entire economic life. The cashflows and corresponding levelized tariff which yield the post-tax returns @12 per cent are as per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676"/>
        <w:gridCol w:w="744"/>
        <w:gridCol w:w="742"/>
        <w:gridCol w:w="742"/>
        <w:gridCol w:w="742"/>
        <w:gridCol w:w="741"/>
        <w:gridCol w:w="741"/>
        <w:gridCol w:w="741"/>
        <w:gridCol w:w="742"/>
        <w:gridCol w:w="739"/>
      </w:tblGrid>
      <w:tr w:rsidR="00C90AAE" w:rsidRPr="006D2651" w14:paraId="2D1CF0EC" w14:textId="77777777" w:rsidTr="00A10F1B">
        <w:trPr>
          <w:trHeight w:val="334"/>
        </w:trPr>
        <w:tc>
          <w:tcPr>
            <w:tcW w:w="1431" w:type="pct"/>
            <w:shd w:val="clear" w:color="auto" w:fill="auto"/>
            <w:noWrap/>
            <w:vAlign w:val="center"/>
            <w:hideMark/>
          </w:tcPr>
          <w:p w14:paraId="315966A0"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398" w:type="pct"/>
            <w:shd w:val="clear" w:color="auto" w:fill="auto"/>
            <w:noWrap/>
            <w:vAlign w:val="center"/>
            <w:hideMark/>
          </w:tcPr>
          <w:p w14:paraId="4DC2C92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397" w:type="pct"/>
            <w:shd w:val="clear" w:color="auto" w:fill="auto"/>
            <w:noWrap/>
            <w:vAlign w:val="center"/>
            <w:hideMark/>
          </w:tcPr>
          <w:p w14:paraId="44AC1D3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397" w:type="pct"/>
            <w:shd w:val="clear" w:color="auto" w:fill="auto"/>
            <w:noWrap/>
            <w:vAlign w:val="center"/>
            <w:hideMark/>
          </w:tcPr>
          <w:p w14:paraId="19E9690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397" w:type="pct"/>
            <w:shd w:val="clear" w:color="auto" w:fill="auto"/>
            <w:noWrap/>
            <w:vAlign w:val="center"/>
            <w:hideMark/>
          </w:tcPr>
          <w:p w14:paraId="2A6DEA4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396" w:type="pct"/>
            <w:shd w:val="clear" w:color="auto" w:fill="auto"/>
            <w:noWrap/>
            <w:vAlign w:val="center"/>
            <w:hideMark/>
          </w:tcPr>
          <w:p w14:paraId="55C2B33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c>
          <w:tcPr>
            <w:tcW w:w="396" w:type="pct"/>
            <w:shd w:val="clear" w:color="auto" w:fill="auto"/>
            <w:noWrap/>
            <w:vAlign w:val="center"/>
            <w:hideMark/>
          </w:tcPr>
          <w:p w14:paraId="296208A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396" w:type="pct"/>
            <w:shd w:val="clear" w:color="auto" w:fill="auto"/>
            <w:noWrap/>
            <w:vAlign w:val="center"/>
            <w:hideMark/>
          </w:tcPr>
          <w:p w14:paraId="30F2563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397" w:type="pct"/>
            <w:shd w:val="clear" w:color="auto" w:fill="auto"/>
            <w:vAlign w:val="center"/>
          </w:tcPr>
          <w:p w14:paraId="5BE35A1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395" w:type="pct"/>
            <w:shd w:val="clear" w:color="auto" w:fill="auto"/>
            <w:vAlign w:val="center"/>
          </w:tcPr>
          <w:p w14:paraId="3C0529A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r>
      <w:tr w:rsidR="00C90AAE" w:rsidRPr="006D2651" w14:paraId="0AC0F4C4" w14:textId="77777777" w:rsidTr="00A10F1B">
        <w:trPr>
          <w:trHeight w:val="334"/>
        </w:trPr>
        <w:tc>
          <w:tcPr>
            <w:tcW w:w="1431" w:type="pct"/>
            <w:shd w:val="clear" w:color="auto" w:fill="auto"/>
            <w:noWrap/>
            <w:vAlign w:val="center"/>
            <w:hideMark/>
          </w:tcPr>
          <w:p w14:paraId="4A53591D"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398" w:type="pct"/>
            <w:shd w:val="clear" w:color="auto" w:fill="auto"/>
            <w:noWrap/>
            <w:vAlign w:val="bottom"/>
            <w:hideMark/>
          </w:tcPr>
          <w:p w14:paraId="7A8E7D0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7" w:type="pct"/>
            <w:shd w:val="clear" w:color="auto" w:fill="auto"/>
            <w:noWrap/>
            <w:vAlign w:val="bottom"/>
            <w:hideMark/>
          </w:tcPr>
          <w:p w14:paraId="475F916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7" w:type="pct"/>
            <w:shd w:val="clear" w:color="auto" w:fill="auto"/>
            <w:noWrap/>
            <w:vAlign w:val="bottom"/>
            <w:hideMark/>
          </w:tcPr>
          <w:p w14:paraId="3859A25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7" w:type="pct"/>
            <w:shd w:val="clear" w:color="auto" w:fill="auto"/>
            <w:noWrap/>
            <w:vAlign w:val="bottom"/>
            <w:hideMark/>
          </w:tcPr>
          <w:p w14:paraId="61B5A47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6" w:type="pct"/>
            <w:shd w:val="clear" w:color="auto" w:fill="auto"/>
            <w:noWrap/>
            <w:vAlign w:val="bottom"/>
            <w:hideMark/>
          </w:tcPr>
          <w:p w14:paraId="10745B2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6" w:type="pct"/>
            <w:shd w:val="clear" w:color="auto" w:fill="auto"/>
            <w:noWrap/>
            <w:vAlign w:val="bottom"/>
            <w:hideMark/>
          </w:tcPr>
          <w:p w14:paraId="5AD9B7C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6" w:type="pct"/>
            <w:shd w:val="clear" w:color="auto" w:fill="auto"/>
            <w:noWrap/>
            <w:vAlign w:val="bottom"/>
            <w:hideMark/>
          </w:tcPr>
          <w:p w14:paraId="6D6CAB4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 xml:space="preserve">           5.72 </w:t>
            </w:r>
          </w:p>
        </w:tc>
        <w:tc>
          <w:tcPr>
            <w:tcW w:w="397" w:type="pct"/>
            <w:shd w:val="clear" w:color="auto" w:fill="auto"/>
            <w:vAlign w:val="bottom"/>
          </w:tcPr>
          <w:p w14:paraId="7CF4B0E4"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395" w:type="pct"/>
            <w:shd w:val="clear" w:color="auto" w:fill="auto"/>
            <w:vAlign w:val="bottom"/>
          </w:tcPr>
          <w:p w14:paraId="523307D9"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r>
      <w:tr w:rsidR="00C90AAE" w:rsidRPr="006D2651" w14:paraId="01C9A02B" w14:textId="77777777" w:rsidTr="00A10F1B">
        <w:trPr>
          <w:trHeight w:val="334"/>
        </w:trPr>
        <w:tc>
          <w:tcPr>
            <w:tcW w:w="1431" w:type="pct"/>
            <w:shd w:val="clear" w:color="auto" w:fill="auto"/>
            <w:noWrap/>
            <w:vAlign w:val="center"/>
            <w:hideMark/>
          </w:tcPr>
          <w:p w14:paraId="277AAA05"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398" w:type="pct"/>
            <w:shd w:val="clear" w:color="auto" w:fill="auto"/>
            <w:noWrap/>
            <w:vAlign w:val="bottom"/>
            <w:hideMark/>
          </w:tcPr>
          <w:p w14:paraId="27D938B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536289F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0653CAB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5795476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14E0B0E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0AEF652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1D07B3A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vAlign w:val="bottom"/>
          </w:tcPr>
          <w:p w14:paraId="4B84C40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5" w:type="pct"/>
            <w:shd w:val="clear" w:color="auto" w:fill="auto"/>
            <w:vAlign w:val="bottom"/>
          </w:tcPr>
          <w:p w14:paraId="3F60DB4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r>
      <w:tr w:rsidR="00C90AAE" w:rsidRPr="006D2651" w14:paraId="76D2F9F8" w14:textId="77777777" w:rsidTr="00A10F1B">
        <w:trPr>
          <w:trHeight w:val="334"/>
        </w:trPr>
        <w:tc>
          <w:tcPr>
            <w:tcW w:w="1431" w:type="pct"/>
            <w:shd w:val="clear" w:color="auto" w:fill="auto"/>
            <w:noWrap/>
            <w:vAlign w:val="center"/>
            <w:hideMark/>
          </w:tcPr>
          <w:p w14:paraId="2F1255E2"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398" w:type="pct"/>
            <w:shd w:val="clear" w:color="auto" w:fill="auto"/>
            <w:noWrap/>
            <w:vAlign w:val="bottom"/>
            <w:hideMark/>
          </w:tcPr>
          <w:p w14:paraId="6D7584C9"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792.79 </w:t>
            </w:r>
          </w:p>
        </w:tc>
        <w:tc>
          <w:tcPr>
            <w:tcW w:w="397" w:type="pct"/>
            <w:shd w:val="clear" w:color="auto" w:fill="auto"/>
            <w:noWrap/>
            <w:vAlign w:val="bottom"/>
            <w:hideMark/>
          </w:tcPr>
          <w:p w14:paraId="5074010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7" w:type="pct"/>
            <w:shd w:val="clear" w:color="auto" w:fill="auto"/>
            <w:noWrap/>
            <w:vAlign w:val="bottom"/>
            <w:hideMark/>
          </w:tcPr>
          <w:p w14:paraId="0D57C2CF"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7" w:type="pct"/>
            <w:shd w:val="clear" w:color="auto" w:fill="auto"/>
            <w:noWrap/>
            <w:vAlign w:val="bottom"/>
            <w:hideMark/>
          </w:tcPr>
          <w:p w14:paraId="7AD9363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6" w:type="pct"/>
            <w:shd w:val="clear" w:color="auto" w:fill="auto"/>
            <w:noWrap/>
            <w:vAlign w:val="bottom"/>
            <w:hideMark/>
          </w:tcPr>
          <w:p w14:paraId="7A01027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6" w:type="pct"/>
            <w:shd w:val="clear" w:color="auto" w:fill="auto"/>
            <w:noWrap/>
            <w:vAlign w:val="bottom"/>
            <w:hideMark/>
          </w:tcPr>
          <w:p w14:paraId="13C780A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6" w:type="pct"/>
            <w:shd w:val="clear" w:color="auto" w:fill="auto"/>
            <w:noWrap/>
            <w:vAlign w:val="bottom"/>
            <w:hideMark/>
          </w:tcPr>
          <w:p w14:paraId="679EFA7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880.88 </w:t>
            </w:r>
          </w:p>
        </w:tc>
        <w:tc>
          <w:tcPr>
            <w:tcW w:w="397" w:type="pct"/>
            <w:shd w:val="clear" w:color="auto" w:fill="auto"/>
            <w:vAlign w:val="bottom"/>
          </w:tcPr>
          <w:p w14:paraId="58FB1D0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395" w:type="pct"/>
            <w:shd w:val="clear" w:color="auto" w:fill="auto"/>
            <w:vAlign w:val="bottom"/>
          </w:tcPr>
          <w:p w14:paraId="3495EDD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r>
      <w:tr w:rsidR="00C90AAE" w:rsidRPr="006D2651" w14:paraId="59DB126A" w14:textId="77777777" w:rsidTr="00A10F1B">
        <w:trPr>
          <w:trHeight w:val="334"/>
        </w:trPr>
        <w:tc>
          <w:tcPr>
            <w:tcW w:w="1431" w:type="pct"/>
            <w:shd w:val="clear" w:color="auto" w:fill="auto"/>
            <w:noWrap/>
            <w:vAlign w:val="center"/>
            <w:hideMark/>
          </w:tcPr>
          <w:p w14:paraId="16CC9243"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398" w:type="pct"/>
            <w:shd w:val="clear" w:color="auto" w:fill="auto"/>
            <w:noWrap/>
            <w:vAlign w:val="bottom"/>
            <w:hideMark/>
          </w:tcPr>
          <w:p w14:paraId="4113CED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2FF3A27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30AB9EB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noWrap/>
            <w:vAlign w:val="bottom"/>
            <w:hideMark/>
          </w:tcPr>
          <w:p w14:paraId="42F3DDB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208E9C0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1A03FEB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6" w:type="pct"/>
            <w:shd w:val="clear" w:color="auto" w:fill="auto"/>
            <w:noWrap/>
            <w:vAlign w:val="bottom"/>
            <w:hideMark/>
          </w:tcPr>
          <w:p w14:paraId="264EEA2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7" w:type="pct"/>
            <w:shd w:val="clear" w:color="auto" w:fill="auto"/>
            <w:vAlign w:val="bottom"/>
          </w:tcPr>
          <w:p w14:paraId="3C7A8F5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95" w:type="pct"/>
            <w:shd w:val="clear" w:color="auto" w:fill="auto"/>
            <w:vAlign w:val="bottom"/>
          </w:tcPr>
          <w:p w14:paraId="44D927D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r>
      <w:tr w:rsidR="00C90AAE" w:rsidRPr="006D2651" w14:paraId="2676FE8E" w14:textId="77777777" w:rsidTr="00A10F1B">
        <w:trPr>
          <w:trHeight w:val="334"/>
        </w:trPr>
        <w:tc>
          <w:tcPr>
            <w:tcW w:w="1431" w:type="pct"/>
            <w:shd w:val="clear" w:color="auto" w:fill="auto"/>
            <w:noWrap/>
            <w:vAlign w:val="center"/>
            <w:hideMark/>
          </w:tcPr>
          <w:p w14:paraId="445E5123"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398" w:type="pct"/>
            <w:shd w:val="clear" w:color="auto" w:fill="auto"/>
            <w:noWrap/>
            <w:vAlign w:val="bottom"/>
            <w:hideMark/>
          </w:tcPr>
          <w:p w14:paraId="715B836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7" w:type="pct"/>
            <w:shd w:val="clear" w:color="auto" w:fill="auto"/>
            <w:noWrap/>
            <w:vAlign w:val="bottom"/>
            <w:hideMark/>
          </w:tcPr>
          <w:p w14:paraId="5ECC0E0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7" w:type="pct"/>
            <w:shd w:val="clear" w:color="auto" w:fill="auto"/>
            <w:noWrap/>
            <w:vAlign w:val="bottom"/>
            <w:hideMark/>
          </w:tcPr>
          <w:p w14:paraId="5542409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7" w:type="pct"/>
            <w:shd w:val="clear" w:color="auto" w:fill="auto"/>
            <w:noWrap/>
            <w:vAlign w:val="bottom"/>
            <w:hideMark/>
          </w:tcPr>
          <w:p w14:paraId="69B5915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6" w:type="pct"/>
            <w:shd w:val="clear" w:color="auto" w:fill="auto"/>
            <w:noWrap/>
            <w:vAlign w:val="bottom"/>
            <w:hideMark/>
          </w:tcPr>
          <w:p w14:paraId="75967DD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6" w:type="pct"/>
            <w:shd w:val="clear" w:color="auto" w:fill="auto"/>
            <w:noWrap/>
            <w:vAlign w:val="bottom"/>
            <w:hideMark/>
          </w:tcPr>
          <w:p w14:paraId="29659D6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6" w:type="pct"/>
            <w:shd w:val="clear" w:color="auto" w:fill="auto"/>
            <w:noWrap/>
            <w:vAlign w:val="bottom"/>
            <w:hideMark/>
          </w:tcPr>
          <w:p w14:paraId="3A538627"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   </w:t>
            </w:r>
          </w:p>
        </w:tc>
        <w:tc>
          <w:tcPr>
            <w:tcW w:w="397" w:type="pct"/>
            <w:shd w:val="clear" w:color="auto" w:fill="auto"/>
            <w:vAlign w:val="bottom"/>
          </w:tcPr>
          <w:p w14:paraId="314E5FE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395" w:type="pct"/>
            <w:shd w:val="clear" w:color="auto" w:fill="auto"/>
            <w:vAlign w:val="bottom"/>
          </w:tcPr>
          <w:p w14:paraId="26C31E88"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r>
      <w:tr w:rsidR="00C90AAE" w:rsidRPr="006D2651" w14:paraId="372A8C90" w14:textId="77777777" w:rsidTr="00A10F1B">
        <w:trPr>
          <w:trHeight w:val="334"/>
        </w:trPr>
        <w:tc>
          <w:tcPr>
            <w:tcW w:w="1431" w:type="pct"/>
            <w:shd w:val="clear" w:color="auto" w:fill="auto"/>
            <w:noWrap/>
            <w:vAlign w:val="center"/>
            <w:hideMark/>
          </w:tcPr>
          <w:p w14:paraId="3E105B70"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398" w:type="pct"/>
            <w:shd w:val="clear" w:color="auto" w:fill="auto"/>
            <w:noWrap/>
            <w:vAlign w:val="bottom"/>
          </w:tcPr>
          <w:p w14:paraId="1490A6F7"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97.54 </w:t>
            </w:r>
          </w:p>
        </w:tc>
        <w:tc>
          <w:tcPr>
            <w:tcW w:w="397" w:type="pct"/>
            <w:shd w:val="clear" w:color="auto" w:fill="auto"/>
            <w:noWrap/>
            <w:vAlign w:val="bottom"/>
          </w:tcPr>
          <w:p w14:paraId="0C620BF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100.47 </w:t>
            </w:r>
          </w:p>
        </w:tc>
        <w:tc>
          <w:tcPr>
            <w:tcW w:w="397" w:type="pct"/>
            <w:shd w:val="clear" w:color="auto" w:fill="auto"/>
            <w:noWrap/>
            <w:vAlign w:val="bottom"/>
          </w:tcPr>
          <w:p w14:paraId="2871484A"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103.48 </w:t>
            </w:r>
          </w:p>
        </w:tc>
        <w:tc>
          <w:tcPr>
            <w:tcW w:w="397" w:type="pct"/>
            <w:shd w:val="clear" w:color="auto" w:fill="auto"/>
            <w:noWrap/>
            <w:vAlign w:val="bottom"/>
          </w:tcPr>
          <w:p w14:paraId="1CEEFEA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106.59 </w:t>
            </w:r>
          </w:p>
        </w:tc>
        <w:tc>
          <w:tcPr>
            <w:tcW w:w="396" w:type="pct"/>
            <w:shd w:val="clear" w:color="auto" w:fill="auto"/>
            <w:noWrap/>
            <w:vAlign w:val="bottom"/>
          </w:tcPr>
          <w:p w14:paraId="17ABEFE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109.78 </w:t>
            </w:r>
          </w:p>
        </w:tc>
        <w:tc>
          <w:tcPr>
            <w:tcW w:w="396" w:type="pct"/>
            <w:shd w:val="clear" w:color="auto" w:fill="auto"/>
            <w:noWrap/>
            <w:vAlign w:val="bottom"/>
          </w:tcPr>
          <w:p w14:paraId="3A1E992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113.08 </w:t>
            </w:r>
          </w:p>
        </w:tc>
        <w:tc>
          <w:tcPr>
            <w:tcW w:w="396" w:type="pct"/>
            <w:shd w:val="clear" w:color="auto" w:fill="auto"/>
            <w:noWrap/>
            <w:vAlign w:val="bottom"/>
          </w:tcPr>
          <w:p w14:paraId="42E738A7"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116.47 </w:t>
            </w:r>
          </w:p>
        </w:tc>
        <w:tc>
          <w:tcPr>
            <w:tcW w:w="397" w:type="pct"/>
            <w:shd w:val="clear" w:color="auto" w:fill="auto"/>
            <w:vAlign w:val="bottom"/>
          </w:tcPr>
          <w:p w14:paraId="3B752853"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119.96 </w:t>
            </w:r>
          </w:p>
        </w:tc>
        <w:tc>
          <w:tcPr>
            <w:tcW w:w="395" w:type="pct"/>
            <w:shd w:val="clear" w:color="auto" w:fill="auto"/>
            <w:vAlign w:val="bottom"/>
          </w:tcPr>
          <w:p w14:paraId="1898C0D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123.56 </w:t>
            </w:r>
          </w:p>
        </w:tc>
      </w:tr>
      <w:tr w:rsidR="00C90AAE" w:rsidRPr="006D2651" w14:paraId="0E4E4357" w14:textId="77777777" w:rsidTr="00A10F1B">
        <w:trPr>
          <w:trHeight w:val="334"/>
        </w:trPr>
        <w:tc>
          <w:tcPr>
            <w:tcW w:w="1431" w:type="pct"/>
            <w:shd w:val="clear" w:color="auto" w:fill="auto"/>
            <w:noWrap/>
            <w:vAlign w:val="center"/>
            <w:hideMark/>
          </w:tcPr>
          <w:p w14:paraId="765F3A57"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398" w:type="pct"/>
            <w:shd w:val="clear" w:color="auto" w:fill="auto"/>
            <w:noWrap/>
            <w:vAlign w:val="bottom"/>
            <w:hideMark/>
          </w:tcPr>
          <w:p w14:paraId="3E4E072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695.25 </w:t>
            </w:r>
          </w:p>
        </w:tc>
        <w:tc>
          <w:tcPr>
            <w:tcW w:w="397" w:type="pct"/>
            <w:shd w:val="clear" w:color="auto" w:fill="auto"/>
            <w:noWrap/>
            <w:vAlign w:val="bottom"/>
            <w:hideMark/>
          </w:tcPr>
          <w:p w14:paraId="527449A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780.41 </w:t>
            </w:r>
          </w:p>
        </w:tc>
        <w:tc>
          <w:tcPr>
            <w:tcW w:w="397" w:type="pct"/>
            <w:shd w:val="clear" w:color="auto" w:fill="auto"/>
            <w:noWrap/>
            <w:vAlign w:val="bottom"/>
            <w:hideMark/>
          </w:tcPr>
          <w:p w14:paraId="5239EB7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777.40 </w:t>
            </w:r>
          </w:p>
        </w:tc>
        <w:tc>
          <w:tcPr>
            <w:tcW w:w="397" w:type="pct"/>
            <w:shd w:val="clear" w:color="auto" w:fill="auto"/>
            <w:noWrap/>
            <w:vAlign w:val="bottom"/>
            <w:hideMark/>
          </w:tcPr>
          <w:p w14:paraId="130A709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774.29 </w:t>
            </w:r>
          </w:p>
        </w:tc>
        <w:tc>
          <w:tcPr>
            <w:tcW w:w="396" w:type="pct"/>
            <w:shd w:val="clear" w:color="auto" w:fill="auto"/>
            <w:noWrap/>
            <w:vAlign w:val="bottom"/>
            <w:hideMark/>
          </w:tcPr>
          <w:p w14:paraId="128D6A0F"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771.10 </w:t>
            </w:r>
          </w:p>
        </w:tc>
        <w:tc>
          <w:tcPr>
            <w:tcW w:w="396" w:type="pct"/>
            <w:shd w:val="clear" w:color="auto" w:fill="auto"/>
            <w:noWrap/>
            <w:vAlign w:val="bottom"/>
            <w:hideMark/>
          </w:tcPr>
          <w:p w14:paraId="562A6CD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767.80 </w:t>
            </w:r>
          </w:p>
        </w:tc>
        <w:tc>
          <w:tcPr>
            <w:tcW w:w="396" w:type="pct"/>
            <w:shd w:val="clear" w:color="auto" w:fill="auto"/>
            <w:noWrap/>
            <w:vAlign w:val="bottom"/>
            <w:hideMark/>
          </w:tcPr>
          <w:p w14:paraId="349E07B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xml:space="preserve">      764.41 </w:t>
            </w:r>
          </w:p>
        </w:tc>
        <w:tc>
          <w:tcPr>
            <w:tcW w:w="397" w:type="pct"/>
            <w:shd w:val="clear" w:color="auto" w:fill="auto"/>
            <w:vAlign w:val="bottom"/>
          </w:tcPr>
          <w:p w14:paraId="2D9BA7C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760.92 </w:t>
            </w:r>
          </w:p>
        </w:tc>
        <w:tc>
          <w:tcPr>
            <w:tcW w:w="395" w:type="pct"/>
            <w:shd w:val="clear" w:color="auto" w:fill="auto"/>
            <w:vAlign w:val="bottom"/>
          </w:tcPr>
          <w:p w14:paraId="477FD655"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757.32 </w:t>
            </w:r>
          </w:p>
        </w:tc>
      </w:tr>
    </w:tbl>
    <w:p w14:paraId="6B7A0684" w14:textId="77777777" w:rsidR="00C90AAE" w:rsidRPr="006D2651" w:rsidRDefault="00C90AAE" w:rsidP="00C90AAE">
      <w:pPr>
        <w:spacing w:after="0"/>
        <w:jc w:val="both"/>
        <w:rPr>
          <w:rFonts w:ascii="Times New Roman" w:hAnsi="Times New Roman"/>
          <w:sz w:val="20"/>
          <w:szCs w:val="20"/>
          <w:highlight w:val="yellow"/>
        </w:rPr>
      </w:pPr>
    </w:p>
    <w:p w14:paraId="4358F2B5" w14:textId="77777777" w:rsidR="00C90AAE" w:rsidRPr="006D2651" w:rsidRDefault="00C90AAE" w:rsidP="00C90AAE">
      <w:pPr>
        <w:spacing w:after="0"/>
        <w:jc w:val="both"/>
        <w:rPr>
          <w:rFonts w:ascii="Times New Roman" w:hAnsi="Times New Roman"/>
          <w:sz w:val="20"/>
          <w:szCs w:val="20"/>
          <w:highlight w:val="yellow"/>
        </w:rPr>
      </w:pP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35"/>
        <w:gridCol w:w="851"/>
        <w:gridCol w:w="781"/>
        <w:gridCol w:w="781"/>
        <w:gridCol w:w="870"/>
        <w:gridCol w:w="870"/>
        <w:gridCol w:w="870"/>
        <w:gridCol w:w="834"/>
        <w:gridCol w:w="809"/>
      </w:tblGrid>
      <w:tr w:rsidR="00C90AAE" w:rsidRPr="006D2651" w14:paraId="34707154" w14:textId="77777777" w:rsidTr="00A10F1B">
        <w:trPr>
          <w:trHeight w:val="325"/>
        </w:trPr>
        <w:tc>
          <w:tcPr>
            <w:tcW w:w="2835" w:type="dxa"/>
            <w:shd w:val="clear" w:color="auto" w:fill="auto"/>
            <w:noWrap/>
            <w:vAlign w:val="center"/>
            <w:hideMark/>
          </w:tcPr>
          <w:p w14:paraId="4663F43A"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851" w:type="dxa"/>
            <w:shd w:val="clear" w:color="auto" w:fill="auto"/>
            <w:vAlign w:val="center"/>
          </w:tcPr>
          <w:p w14:paraId="039D332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781" w:type="dxa"/>
            <w:shd w:val="clear" w:color="auto" w:fill="auto"/>
            <w:vAlign w:val="center"/>
          </w:tcPr>
          <w:p w14:paraId="40C14AF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781" w:type="dxa"/>
            <w:shd w:val="clear" w:color="auto" w:fill="auto"/>
            <w:vAlign w:val="center"/>
          </w:tcPr>
          <w:p w14:paraId="5264FA9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870" w:type="dxa"/>
            <w:shd w:val="clear" w:color="auto" w:fill="auto"/>
            <w:vAlign w:val="center"/>
          </w:tcPr>
          <w:p w14:paraId="06EE09B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870" w:type="dxa"/>
            <w:shd w:val="clear" w:color="auto" w:fill="auto"/>
            <w:vAlign w:val="center"/>
          </w:tcPr>
          <w:p w14:paraId="74F74DF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870" w:type="dxa"/>
            <w:shd w:val="clear" w:color="auto" w:fill="auto"/>
            <w:vAlign w:val="center"/>
          </w:tcPr>
          <w:p w14:paraId="4E76646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834" w:type="dxa"/>
            <w:shd w:val="clear" w:color="auto" w:fill="auto"/>
            <w:vAlign w:val="center"/>
          </w:tcPr>
          <w:p w14:paraId="2EF5B5E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809" w:type="dxa"/>
            <w:shd w:val="clear" w:color="auto" w:fill="auto"/>
            <w:vAlign w:val="center"/>
          </w:tcPr>
          <w:p w14:paraId="234F4E0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4A05DE63" w14:textId="77777777" w:rsidTr="00A10F1B">
        <w:trPr>
          <w:trHeight w:val="325"/>
        </w:trPr>
        <w:tc>
          <w:tcPr>
            <w:tcW w:w="2835" w:type="dxa"/>
            <w:shd w:val="clear" w:color="auto" w:fill="auto"/>
            <w:noWrap/>
            <w:vAlign w:val="center"/>
            <w:hideMark/>
          </w:tcPr>
          <w:p w14:paraId="58B86BBF"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851" w:type="dxa"/>
            <w:shd w:val="clear" w:color="auto" w:fill="auto"/>
            <w:vAlign w:val="bottom"/>
          </w:tcPr>
          <w:p w14:paraId="360A5C1F"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781" w:type="dxa"/>
            <w:shd w:val="clear" w:color="auto" w:fill="auto"/>
            <w:vAlign w:val="bottom"/>
          </w:tcPr>
          <w:p w14:paraId="467CF404"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781" w:type="dxa"/>
            <w:shd w:val="clear" w:color="auto" w:fill="auto"/>
            <w:vAlign w:val="bottom"/>
          </w:tcPr>
          <w:p w14:paraId="42AA26BA"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870" w:type="dxa"/>
            <w:shd w:val="clear" w:color="auto" w:fill="auto"/>
            <w:vAlign w:val="bottom"/>
          </w:tcPr>
          <w:p w14:paraId="149C8F48"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870" w:type="dxa"/>
            <w:shd w:val="clear" w:color="auto" w:fill="auto"/>
            <w:vAlign w:val="bottom"/>
          </w:tcPr>
          <w:p w14:paraId="55316B3C"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870" w:type="dxa"/>
            <w:shd w:val="clear" w:color="auto" w:fill="auto"/>
            <w:vAlign w:val="bottom"/>
          </w:tcPr>
          <w:p w14:paraId="63EBD1D5"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834" w:type="dxa"/>
            <w:shd w:val="clear" w:color="auto" w:fill="auto"/>
            <w:vAlign w:val="bottom"/>
          </w:tcPr>
          <w:p w14:paraId="68DDCDF0"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c>
          <w:tcPr>
            <w:tcW w:w="809" w:type="dxa"/>
            <w:shd w:val="clear" w:color="auto" w:fill="auto"/>
            <w:vAlign w:val="bottom"/>
          </w:tcPr>
          <w:p w14:paraId="2032702B"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 xml:space="preserve">           5.72 </w:t>
            </w:r>
          </w:p>
        </w:tc>
      </w:tr>
      <w:tr w:rsidR="00C90AAE" w:rsidRPr="006D2651" w14:paraId="2851DA0E" w14:textId="77777777" w:rsidTr="00A10F1B">
        <w:trPr>
          <w:trHeight w:val="325"/>
        </w:trPr>
        <w:tc>
          <w:tcPr>
            <w:tcW w:w="2835" w:type="dxa"/>
            <w:shd w:val="clear" w:color="auto" w:fill="auto"/>
            <w:noWrap/>
            <w:vAlign w:val="center"/>
            <w:hideMark/>
          </w:tcPr>
          <w:p w14:paraId="5E3161B7"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851" w:type="dxa"/>
            <w:shd w:val="clear" w:color="auto" w:fill="auto"/>
            <w:vAlign w:val="bottom"/>
          </w:tcPr>
          <w:p w14:paraId="277E9CF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781" w:type="dxa"/>
            <w:shd w:val="clear" w:color="auto" w:fill="auto"/>
            <w:vAlign w:val="bottom"/>
          </w:tcPr>
          <w:p w14:paraId="3F57C63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781" w:type="dxa"/>
            <w:shd w:val="clear" w:color="auto" w:fill="auto"/>
            <w:vAlign w:val="bottom"/>
          </w:tcPr>
          <w:p w14:paraId="255CA8D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6EC7018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63933AD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2245220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34" w:type="dxa"/>
            <w:shd w:val="clear" w:color="auto" w:fill="auto"/>
            <w:vAlign w:val="bottom"/>
          </w:tcPr>
          <w:p w14:paraId="51360FF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09" w:type="dxa"/>
            <w:shd w:val="clear" w:color="auto" w:fill="auto"/>
            <w:vAlign w:val="bottom"/>
          </w:tcPr>
          <w:p w14:paraId="220EAEBA"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r>
      <w:tr w:rsidR="00C90AAE" w:rsidRPr="006D2651" w14:paraId="3DAD1127" w14:textId="77777777" w:rsidTr="00A10F1B">
        <w:trPr>
          <w:trHeight w:val="325"/>
        </w:trPr>
        <w:tc>
          <w:tcPr>
            <w:tcW w:w="2835" w:type="dxa"/>
            <w:shd w:val="clear" w:color="auto" w:fill="auto"/>
            <w:noWrap/>
            <w:vAlign w:val="center"/>
            <w:hideMark/>
          </w:tcPr>
          <w:p w14:paraId="672725AC"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lastRenderedPageBreak/>
              <w:t>Revenues (₹/ crore)</w:t>
            </w:r>
          </w:p>
        </w:tc>
        <w:tc>
          <w:tcPr>
            <w:tcW w:w="851" w:type="dxa"/>
            <w:shd w:val="clear" w:color="auto" w:fill="auto"/>
            <w:vAlign w:val="bottom"/>
          </w:tcPr>
          <w:p w14:paraId="63DD2879"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781" w:type="dxa"/>
            <w:shd w:val="clear" w:color="auto" w:fill="auto"/>
            <w:vAlign w:val="bottom"/>
          </w:tcPr>
          <w:p w14:paraId="3666A6D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781" w:type="dxa"/>
            <w:shd w:val="clear" w:color="auto" w:fill="auto"/>
            <w:vAlign w:val="bottom"/>
          </w:tcPr>
          <w:p w14:paraId="1B1C3E42"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870" w:type="dxa"/>
            <w:shd w:val="clear" w:color="auto" w:fill="auto"/>
            <w:vAlign w:val="bottom"/>
          </w:tcPr>
          <w:p w14:paraId="258D38E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870" w:type="dxa"/>
            <w:shd w:val="clear" w:color="auto" w:fill="auto"/>
            <w:vAlign w:val="bottom"/>
          </w:tcPr>
          <w:p w14:paraId="35CBCD7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870" w:type="dxa"/>
            <w:shd w:val="clear" w:color="auto" w:fill="auto"/>
            <w:vAlign w:val="bottom"/>
          </w:tcPr>
          <w:p w14:paraId="6696B4E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834" w:type="dxa"/>
            <w:shd w:val="clear" w:color="auto" w:fill="auto"/>
            <w:vAlign w:val="bottom"/>
          </w:tcPr>
          <w:p w14:paraId="3EA8191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c>
          <w:tcPr>
            <w:tcW w:w="809" w:type="dxa"/>
            <w:shd w:val="clear" w:color="auto" w:fill="auto"/>
            <w:vAlign w:val="bottom"/>
          </w:tcPr>
          <w:p w14:paraId="51D6EF7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880.88 </w:t>
            </w:r>
          </w:p>
        </w:tc>
      </w:tr>
      <w:tr w:rsidR="00C90AAE" w:rsidRPr="006D2651" w14:paraId="30AFDCF8" w14:textId="77777777" w:rsidTr="00A10F1B">
        <w:trPr>
          <w:trHeight w:val="325"/>
        </w:trPr>
        <w:tc>
          <w:tcPr>
            <w:tcW w:w="2835" w:type="dxa"/>
            <w:shd w:val="clear" w:color="auto" w:fill="auto"/>
            <w:noWrap/>
            <w:vAlign w:val="center"/>
            <w:hideMark/>
          </w:tcPr>
          <w:p w14:paraId="3377E11B"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851" w:type="dxa"/>
            <w:shd w:val="clear" w:color="auto" w:fill="auto"/>
            <w:vAlign w:val="bottom"/>
          </w:tcPr>
          <w:p w14:paraId="19039DC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781" w:type="dxa"/>
            <w:shd w:val="clear" w:color="auto" w:fill="auto"/>
            <w:vAlign w:val="bottom"/>
          </w:tcPr>
          <w:p w14:paraId="3AC8B46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781" w:type="dxa"/>
            <w:shd w:val="clear" w:color="auto" w:fill="auto"/>
            <w:vAlign w:val="bottom"/>
          </w:tcPr>
          <w:p w14:paraId="40BCEC5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2AC2BBAA"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0BA6333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70" w:type="dxa"/>
            <w:shd w:val="clear" w:color="auto" w:fill="auto"/>
            <w:vAlign w:val="bottom"/>
          </w:tcPr>
          <w:p w14:paraId="020873C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34" w:type="dxa"/>
            <w:shd w:val="clear" w:color="auto" w:fill="auto"/>
            <w:vAlign w:val="bottom"/>
          </w:tcPr>
          <w:p w14:paraId="194E006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809" w:type="dxa"/>
            <w:shd w:val="clear" w:color="auto" w:fill="auto"/>
            <w:vAlign w:val="bottom"/>
          </w:tcPr>
          <w:p w14:paraId="6072D70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r>
      <w:tr w:rsidR="00C90AAE" w:rsidRPr="006D2651" w14:paraId="5AD8E90C" w14:textId="77777777" w:rsidTr="00A10F1B">
        <w:trPr>
          <w:trHeight w:val="325"/>
        </w:trPr>
        <w:tc>
          <w:tcPr>
            <w:tcW w:w="2835" w:type="dxa"/>
            <w:shd w:val="clear" w:color="auto" w:fill="auto"/>
            <w:noWrap/>
            <w:vAlign w:val="center"/>
            <w:hideMark/>
          </w:tcPr>
          <w:p w14:paraId="65BCDD20"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851" w:type="dxa"/>
            <w:shd w:val="clear" w:color="auto" w:fill="auto"/>
            <w:vAlign w:val="bottom"/>
          </w:tcPr>
          <w:p w14:paraId="197BF5F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781" w:type="dxa"/>
            <w:shd w:val="clear" w:color="auto" w:fill="auto"/>
            <w:vAlign w:val="bottom"/>
          </w:tcPr>
          <w:p w14:paraId="43978FF8"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781" w:type="dxa"/>
            <w:shd w:val="clear" w:color="auto" w:fill="auto"/>
            <w:vAlign w:val="bottom"/>
          </w:tcPr>
          <w:p w14:paraId="287B006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870" w:type="dxa"/>
            <w:shd w:val="clear" w:color="auto" w:fill="auto"/>
            <w:vAlign w:val="bottom"/>
          </w:tcPr>
          <w:p w14:paraId="11CA303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870" w:type="dxa"/>
            <w:shd w:val="clear" w:color="auto" w:fill="auto"/>
            <w:vAlign w:val="bottom"/>
          </w:tcPr>
          <w:p w14:paraId="14A7FFC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870" w:type="dxa"/>
            <w:shd w:val="clear" w:color="auto" w:fill="auto"/>
            <w:vAlign w:val="bottom"/>
          </w:tcPr>
          <w:p w14:paraId="0C0B3FD2"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834" w:type="dxa"/>
            <w:shd w:val="clear" w:color="auto" w:fill="auto"/>
            <w:vAlign w:val="bottom"/>
          </w:tcPr>
          <w:p w14:paraId="269C115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c>
          <w:tcPr>
            <w:tcW w:w="809" w:type="dxa"/>
            <w:shd w:val="clear" w:color="auto" w:fill="auto"/>
            <w:vAlign w:val="bottom"/>
          </w:tcPr>
          <w:p w14:paraId="4C51027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   </w:t>
            </w:r>
          </w:p>
        </w:tc>
      </w:tr>
      <w:tr w:rsidR="00C90AAE" w:rsidRPr="006D2651" w14:paraId="553CB88A" w14:textId="77777777" w:rsidTr="00A10F1B">
        <w:trPr>
          <w:trHeight w:val="325"/>
        </w:trPr>
        <w:tc>
          <w:tcPr>
            <w:tcW w:w="2835" w:type="dxa"/>
            <w:shd w:val="clear" w:color="auto" w:fill="auto"/>
            <w:noWrap/>
            <w:vAlign w:val="center"/>
            <w:hideMark/>
          </w:tcPr>
          <w:p w14:paraId="4E714C52"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851" w:type="dxa"/>
            <w:shd w:val="clear" w:color="auto" w:fill="auto"/>
            <w:vAlign w:val="bottom"/>
          </w:tcPr>
          <w:p w14:paraId="6B89D342"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127.27 </w:t>
            </w:r>
          </w:p>
        </w:tc>
        <w:tc>
          <w:tcPr>
            <w:tcW w:w="781" w:type="dxa"/>
            <w:shd w:val="clear" w:color="auto" w:fill="auto"/>
            <w:vAlign w:val="bottom"/>
          </w:tcPr>
          <w:p w14:paraId="217A7347"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131.09 </w:t>
            </w:r>
          </w:p>
        </w:tc>
        <w:tc>
          <w:tcPr>
            <w:tcW w:w="781" w:type="dxa"/>
            <w:shd w:val="clear" w:color="auto" w:fill="auto"/>
            <w:vAlign w:val="bottom"/>
          </w:tcPr>
          <w:p w14:paraId="71A53EA3"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135.02 </w:t>
            </w:r>
          </w:p>
        </w:tc>
        <w:tc>
          <w:tcPr>
            <w:tcW w:w="870" w:type="dxa"/>
            <w:shd w:val="clear" w:color="auto" w:fill="auto"/>
            <w:vAlign w:val="bottom"/>
          </w:tcPr>
          <w:p w14:paraId="6B60D6D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139.07 </w:t>
            </w:r>
          </w:p>
        </w:tc>
        <w:tc>
          <w:tcPr>
            <w:tcW w:w="870" w:type="dxa"/>
            <w:shd w:val="clear" w:color="auto" w:fill="auto"/>
            <w:vAlign w:val="bottom"/>
          </w:tcPr>
          <w:p w14:paraId="7D1FF2F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143.24 </w:t>
            </w:r>
          </w:p>
        </w:tc>
        <w:tc>
          <w:tcPr>
            <w:tcW w:w="870" w:type="dxa"/>
            <w:shd w:val="clear" w:color="auto" w:fill="auto"/>
            <w:vAlign w:val="bottom"/>
          </w:tcPr>
          <w:p w14:paraId="4DB8D25C"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147.54 </w:t>
            </w:r>
          </w:p>
        </w:tc>
        <w:tc>
          <w:tcPr>
            <w:tcW w:w="834" w:type="dxa"/>
            <w:shd w:val="clear" w:color="auto" w:fill="auto"/>
            <w:vAlign w:val="bottom"/>
          </w:tcPr>
          <w:p w14:paraId="466AEB2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151.97 </w:t>
            </w:r>
          </w:p>
        </w:tc>
        <w:tc>
          <w:tcPr>
            <w:tcW w:w="809" w:type="dxa"/>
            <w:shd w:val="clear" w:color="auto" w:fill="auto"/>
            <w:vAlign w:val="bottom"/>
          </w:tcPr>
          <w:p w14:paraId="0ECC78A3"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156.53 </w:t>
            </w:r>
          </w:p>
        </w:tc>
      </w:tr>
      <w:tr w:rsidR="00C90AAE" w:rsidRPr="006D2651" w14:paraId="161C1FA4" w14:textId="77777777" w:rsidTr="00A10F1B">
        <w:trPr>
          <w:trHeight w:val="325"/>
        </w:trPr>
        <w:tc>
          <w:tcPr>
            <w:tcW w:w="2835" w:type="dxa"/>
            <w:shd w:val="clear" w:color="auto" w:fill="auto"/>
            <w:noWrap/>
            <w:vAlign w:val="center"/>
            <w:hideMark/>
          </w:tcPr>
          <w:p w14:paraId="1580703C"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851" w:type="dxa"/>
            <w:shd w:val="clear" w:color="auto" w:fill="auto"/>
            <w:vAlign w:val="bottom"/>
          </w:tcPr>
          <w:p w14:paraId="7B5E691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753.61 </w:t>
            </w:r>
          </w:p>
        </w:tc>
        <w:tc>
          <w:tcPr>
            <w:tcW w:w="781" w:type="dxa"/>
            <w:shd w:val="clear" w:color="auto" w:fill="auto"/>
            <w:vAlign w:val="bottom"/>
          </w:tcPr>
          <w:p w14:paraId="6FF17EA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749.79 </w:t>
            </w:r>
          </w:p>
        </w:tc>
        <w:tc>
          <w:tcPr>
            <w:tcW w:w="781" w:type="dxa"/>
            <w:shd w:val="clear" w:color="auto" w:fill="auto"/>
            <w:vAlign w:val="bottom"/>
          </w:tcPr>
          <w:p w14:paraId="1E949F9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745.86 </w:t>
            </w:r>
          </w:p>
        </w:tc>
        <w:tc>
          <w:tcPr>
            <w:tcW w:w="870" w:type="dxa"/>
            <w:shd w:val="clear" w:color="auto" w:fill="auto"/>
            <w:vAlign w:val="bottom"/>
          </w:tcPr>
          <w:p w14:paraId="46BC26D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741.81 </w:t>
            </w:r>
          </w:p>
        </w:tc>
        <w:tc>
          <w:tcPr>
            <w:tcW w:w="870" w:type="dxa"/>
            <w:shd w:val="clear" w:color="auto" w:fill="auto"/>
            <w:vAlign w:val="bottom"/>
          </w:tcPr>
          <w:p w14:paraId="3B2C14E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737.64 </w:t>
            </w:r>
          </w:p>
        </w:tc>
        <w:tc>
          <w:tcPr>
            <w:tcW w:w="870" w:type="dxa"/>
            <w:shd w:val="clear" w:color="auto" w:fill="auto"/>
            <w:vAlign w:val="bottom"/>
          </w:tcPr>
          <w:p w14:paraId="2529A36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733.34 </w:t>
            </w:r>
          </w:p>
        </w:tc>
        <w:tc>
          <w:tcPr>
            <w:tcW w:w="834" w:type="dxa"/>
            <w:shd w:val="clear" w:color="auto" w:fill="auto"/>
            <w:vAlign w:val="bottom"/>
          </w:tcPr>
          <w:p w14:paraId="496D771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728.91 </w:t>
            </w:r>
          </w:p>
        </w:tc>
        <w:tc>
          <w:tcPr>
            <w:tcW w:w="809" w:type="dxa"/>
            <w:shd w:val="clear" w:color="auto" w:fill="auto"/>
            <w:vAlign w:val="bottom"/>
          </w:tcPr>
          <w:p w14:paraId="077E5F5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 xml:space="preserve">      724.35 </w:t>
            </w:r>
          </w:p>
        </w:tc>
      </w:tr>
    </w:tbl>
    <w:p w14:paraId="4FF68F4C" w14:textId="77777777" w:rsidR="00C90AAE" w:rsidRPr="00C90AAE" w:rsidRDefault="00C90AAE" w:rsidP="00C90AAE">
      <w:pPr>
        <w:spacing w:before="100" w:after="100"/>
        <w:jc w:val="both"/>
        <w:rPr>
          <w:rFonts w:ascii="Times New Roman" w:hAnsi="Times New Roman"/>
          <w:b/>
          <w:sz w:val="2"/>
          <w:szCs w:val="2"/>
          <w:highlight w:val="yellow"/>
        </w:rPr>
      </w:pPr>
    </w:p>
    <w:p w14:paraId="11456F32" w14:textId="77777777" w:rsidR="00C34994" w:rsidRDefault="00C34994" w:rsidP="00C90AAE">
      <w:pPr>
        <w:spacing w:before="100" w:after="100"/>
        <w:jc w:val="both"/>
        <w:rPr>
          <w:rFonts w:ascii="Times New Roman" w:hAnsi="Times New Roman"/>
          <w:b/>
          <w:sz w:val="20"/>
          <w:szCs w:val="20"/>
        </w:rPr>
      </w:pPr>
    </w:p>
    <w:p w14:paraId="40E443B5" w14:textId="10E73769" w:rsidR="00C90AAE" w:rsidRPr="006D2651" w:rsidRDefault="00C90AAE" w:rsidP="00C90AAE">
      <w:pPr>
        <w:spacing w:before="100" w:after="100"/>
        <w:jc w:val="both"/>
        <w:rPr>
          <w:rFonts w:ascii="Times New Roman" w:hAnsi="Times New Roman"/>
          <w:b/>
          <w:sz w:val="20"/>
          <w:szCs w:val="20"/>
        </w:rPr>
      </w:pPr>
      <w:r w:rsidRPr="006D2651">
        <w:rPr>
          <w:rFonts w:ascii="Times New Roman" w:hAnsi="Times New Roman"/>
          <w:b/>
          <w:sz w:val="20"/>
          <w:szCs w:val="20"/>
        </w:rPr>
        <w:t>Illustration -2 for POL pipeline</w:t>
      </w:r>
    </w:p>
    <w:p w14:paraId="10063C37"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A POL pipeline with equivalent rail distance of 770 km transporting POL is assumed to have an injection point at A and multiple tap-off points(TOP) at B, C and D. Product flow is assumed only from injection at A to TOP B which is at a distance of 770 kms. The pipeline has commissioned after the notification of the Petroleum and Natural Gas Regulatory Board (Determination of Petroleum and Petroleum Products Pipeline Transportation Tariff) Regulations, 2010. </w:t>
      </w:r>
    </w:p>
    <w:p w14:paraId="155A54BA" w14:textId="13BFBF6E" w:rsidR="00C90AAE"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Petroleum products pipeline transportation tariffs for such pipelines till the date of this notification are determined through benchmarking against basic notional railway freight on train load basis for equivalent rail distance along </w:t>
      </w:r>
    </w:p>
    <w:p w14:paraId="5A40CC11" w14:textId="1112B299"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pipeline route. For petroleum products (MS, HSD, &amp; ATF etc.) pipeline tariff is benchmarked at 75 per cent of basic notional railway freight under class 180A.</w:t>
      </w:r>
    </w:p>
    <w:p w14:paraId="02E189F6"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capacity of the pipeline is considered as 2.67 MMTPA and diameter is considered as 12” and pipeline is assumed to commence its operations from 2017.</w:t>
      </w:r>
    </w:p>
    <w:p w14:paraId="2176576B" w14:textId="77777777" w:rsidR="00C90AAE" w:rsidRPr="006D2651" w:rsidRDefault="00C90AAE" w:rsidP="00C90AAE">
      <w:pPr>
        <w:spacing w:after="0"/>
        <w:jc w:val="both"/>
        <w:rPr>
          <w:rFonts w:ascii="Times New Roman" w:hAnsi="Times New Roman"/>
          <w:sz w:val="20"/>
          <w:szCs w:val="20"/>
        </w:rPr>
      </w:pPr>
      <w:r w:rsidRPr="006D2651">
        <w:rPr>
          <w:rFonts w:ascii="Times New Roman" w:hAnsi="Times New Roman"/>
          <w:sz w:val="20"/>
          <w:szCs w:val="20"/>
        </w:rPr>
        <w:t>The actual volumes have been considered basis normative volumes (in MMTPA) as per the table below:</w:t>
      </w:r>
    </w:p>
    <w:tbl>
      <w:tblPr>
        <w:tblW w:w="5000" w:type="pct"/>
        <w:tblCellMar>
          <w:left w:w="29" w:type="dxa"/>
          <w:right w:w="29" w:type="dxa"/>
        </w:tblCellMar>
        <w:tblLook w:val="04A0" w:firstRow="1" w:lastRow="0" w:firstColumn="1" w:lastColumn="0" w:noHBand="0" w:noVBand="1"/>
      </w:tblPr>
      <w:tblGrid>
        <w:gridCol w:w="718"/>
        <w:gridCol w:w="720"/>
        <w:gridCol w:w="720"/>
        <w:gridCol w:w="720"/>
        <w:gridCol w:w="720"/>
        <w:gridCol w:w="720"/>
        <w:gridCol w:w="720"/>
        <w:gridCol w:w="720"/>
        <w:gridCol w:w="720"/>
        <w:gridCol w:w="720"/>
        <w:gridCol w:w="720"/>
        <w:gridCol w:w="720"/>
        <w:gridCol w:w="712"/>
      </w:tblGrid>
      <w:tr w:rsidR="00C90AAE" w:rsidRPr="006D2651" w14:paraId="573111C6" w14:textId="77777777" w:rsidTr="00A10F1B">
        <w:trPr>
          <w:trHeight w:val="35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46E6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490D322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A4AB56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Y3</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3F1CF33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Y4</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54ABB94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Y5</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5AEEF3D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Y6</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C0E4BC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Y7</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B7E4A7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Y8</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6FAA48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388669A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78FA4E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7CB6E49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14:paraId="0F6CACE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r>
      <w:tr w:rsidR="00C90AAE" w:rsidRPr="006D2651" w14:paraId="44EFDFFD" w14:textId="77777777" w:rsidTr="00A10F1B">
        <w:trPr>
          <w:trHeight w:val="355"/>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083B13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0.6</w:t>
            </w:r>
          </w:p>
        </w:tc>
        <w:tc>
          <w:tcPr>
            <w:tcW w:w="385" w:type="pct"/>
            <w:tcBorders>
              <w:top w:val="nil"/>
              <w:left w:val="nil"/>
              <w:bottom w:val="single" w:sz="4" w:space="0" w:color="auto"/>
              <w:right w:val="single" w:sz="4" w:space="0" w:color="auto"/>
            </w:tcBorders>
            <w:shd w:val="clear" w:color="auto" w:fill="auto"/>
            <w:noWrap/>
            <w:vAlign w:val="center"/>
            <w:hideMark/>
          </w:tcPr>
          <w:p w14:paraId="2731A3F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0.70</w:t>
            </w:r>
          </w:p>
        </w:tc>
        <w:tc>
          <w:tcPr>
            <w:tcW w:w="385" w:type="pct"/>
            <w:tcBorders>
              <w:top w:val="nil"/>
              <w:left w:val="nil"/>
              <w:bottom w:val="single" w:sz="4" w:space="0" w:color="auto"/>
              <w:right w:val="single" w:sz="4" w:space="0" w:color="auto"/>
            </w:tcBorders>
            <w:shd w:val="clear" w:color="auto" w:fill="auto"/>
            <w:noWrap/>
            <w:vAlign w:val="center"/>
            <w:hideMark/>
          </w:tcPr>
          <w:p w14:paraId="366BAAD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0.80</w:t>
            </w:r>
          </w:p>
        </w:tc>
        <w:tc>
          <w:tcPr>
            <w:tcW w:w="385" w:type="pct"/>
            <w:tcBorders>
              <w:top w:val="nil"/>
              <w:left w:val="nil"/>
              <w:bottom w:val="single" w:sz="4" w:space="0" w:color="auto"/>
              <w:right w:val="single" w:sz="4" w:space="0" w:color="auto"/>
            </w:tcBorders>
            <w:shd w:val="clear" w:color="auto" w:fill="auto"/>
            <w:noWrap/>
            <w:vAlign w:val="center"/>
            <w:hideMark/>
          </w:tcPr>
          <w:p w14:paraId="5B860D3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0.90</w:t>
            </w:r>
          </w:p>
        </w:tc>
        <w:tc>
          <w:tcPr>
            <w:tcW w:w="385" w:type="pct"/>
            <w:tcBorders>
              <w:top w:val="nil"/>
              <w:left w:val="nil"/>
              <w:bottom w:val="single" w:sz="4" w:space="0" w:color="auto"/>
              <w:right w:val="single" w:sz="4" w:space="0" w:color="auto"/>
            </w:tcBorders>
            <w:shd w:val="clear" w:color="auto" w:fill="auto"/>
            <w:noWrap/>
            <w:vAlign w:val="center"/>
            <w:hideMark/>
          </w:tcPr>
          <w:p w14:paraId="40B4D9C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1.00</w:t>
            </w:r>
          </w:p>
        </w:tc>
        <w:tc>
          <w:tcPr>
            <w:tcW w:w="385" w:type="pct"/>
            <w:tcBorders>
              <w:top w:val="nil"/>
              <w:left w:val="nil"/>
              <w:bottom w:val="single" w:sz="4" w:space="0" w:color="auto"/>
              <w:right w:val="single" w:sz="4" w:space="0" w:color="auto"/>
            </w:tcBorders>
            <w:shd w:val="clear" w:color="auto" w:fill="auto"/>
            <w:noWrap/>
            <w:vAlign w:val="center"/>
            <w:hideMark/>
          </w:tcPr>
          <w:p w14:paraId="7513A45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1.20</w:t>
            </w:r>
          </w:p>
        </w:tc>
        <w:tc>
          <w:tcPr>
            <w:tcW w:w="385" w:type="pct"/>
            <w:tcBorders>
              <w:top w:val="nil"/>
              <w:left w:val="nil"/>
              <w:bottom w:val="single" w:sz="4" w:space="0" w:color="auto"/>
              <w:right w:val="single" w:sz="4" w:space="0" w:color="auto"/>
            </w:tcBorders>
            <w:shd w:val="clear" w:color="auto" w:fill="auto"/>
            <w:noWrap/>
            <w:vAlign w:val="center"/>
            <w:hideMark/>
          </w:tcPr>
          <w:p w14:paraId="0D94CA3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1.40</w:t>
            </w:r>
          </w:p>
        </w:tc>
        <w:tc>
          <w:tcPr>
            <w:tcW w:w="385" w:type="pct"/>
            <w:tcBorders>
              <w:top w:val="nil"/>
              <w:left w:val="nil"/>
              <w:bottom w:val="single" w:sz="4" w:space="0" w:color="auto"/>
              <w:right w:val="single" w:sz="4" w:space="0" w:color="auto"/>
            </w:tcBorders>
            <w:shd w:val="clear" w:color="auto" w:fill="auto"/>
            <w:noWrap/>
            <w:vAlign w:val="center"/>
            <w:hideMark/>
          </w:tcPr>
          <w:p w14:paraId="201F732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1.60</w:t>
            </w:r>
          </w:p>
        </w:tc>
        <w:tc>
          <w:tcPr>
            <w:tcW w:w="385" w:type="pct"/>
            <w:tcBorders>
              <w:top w:val="nil"/>
              <w:left w:val="nil"/>
              <w:bottom w:val="single" w:sz="4" w:space="0" w:color="auto"/>
              <w:right w:val="single" w:sz="4" w:space="0" w:color="auto"/>
            </w:tcBorders>
            <w:shd w:val="clear" w:color="auto" w:fill="auto"/>
            <w:noWrap/>
            <w:vAlign w:val="center"/>
            <w:hideMark/>
          </w:tcPr>
          <w:p w14:paraId="7192909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1.80</w:t>
            </w:r>
          </w:p>
        </w:tc>
        <w:tc>
          <w:tcPr>
            <w:tcW w:w="385" w:type="pct"/>
            <w:tcBorders>
              <w:top w:val="nil"/>
              <w:left w:val="nil"/>
              <w:bottom w:val="single" w:sz="4" w:space="0" w:color="auto"/>
              <w:right w:val="single" w:sz="4" w:space="0" w:color="auto"/>
            </w:tcBorders>
            <w:shd w:val="clear" w:color="auto" w:fill="auto"/>
            <w:noWrap/>
            <w:vAlign w:val="center"/>
            <w:hideMark/>
          </w:tcPr>
          <w:p w14:paraId="1EC0D0E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5" w:type="pct"/>
            <w:tcBorders>
              <w:top w:val="nil"/>
              <w:left w:val="nil"/>
              <w:bottom w:val="single" w:sz="4" w:space="0" w:color="auto"/>
              <w:right w:val="single" w:sz="4" w:space="0" w:color="auto"/>
            </w:tcBorders>
            <w:shd w:val="clear" w:color="auto" w:fill="auto"/>
            <w:noWrap/>
            <w:vAlign w:val="center"/>
            <w:hideMark/>
          </w:tcPr>
          <w:p w14:paraId="661A4F9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5" w:type="pct"/>
            <w:tcBorders>
              <w:top w:val="nil"/>
              <w:left w:val="nil"/>
              <w:bottom w:val="single" w:sz="4" w:space="0" w:color="auto"/>
              <w:right w:val="single" w:sz="4" w:space="0" w:color="auto"/>
            </w:tcBorders>
            <w:shd w:val="clear" w:color="auto" w:fill="auto"/>
            <w:noWrap/>
            <w:vAlign w:val="center"/>
            <w:hideMark/>
          </w:tcPr>
          <w:p w14:paraId="1A6BED0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384" w:type="pct"/>
            <w:tcBorders>
              <w:top w:val="nil"/>
              <w:left w:val="nil"/>
              <w:bottom w:val="single" w:sz="4" w:space="0" w:color="auto"/>
              <w:right w:val="single" w:sz="4" w:space="0" w:color="auto"/>
            </w:tcBorders>
            <w:shd w:val="clear" w:color="auto" w:fill="auto"/>
            <w:noWrap/>
            <w:vAlign w:val="center"/>
            <w:hideMark/>
          </w:tcPr>
          <w:p w14:paraId="397126F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r>
    </w:tbl>
    <w:p w14:paraId="4170D117" w14:textId="77777777" w:rsidR="00C90AAE" w:rsidRPr="006D2651" w:rsidRDefault="00C90AAE" w:rsidP="00C90AAE">
      <w:pPr>
        <w:spacing w:after="0"/>
        <w:jc w:val="both"/>
        <w:rPr>
          <w:rFonts w:ascii="Times New Roman" w:hAnsi="Times New Roman"/>
          <w:sz w:val="20"/>
          <w:szCs w:val="20"/>
          <w:u w:val="single"/>
        </w:rPr>
      </w:pPr>
    </w:p>
    <w:tbl>
      <w:tblPr>
        <w:tblW w:w="5000" w:type="pct"/>
        <w:tblLayout w:type="fixed"/>
        <w:tblCellMar>
          <w:left w:w="29" w:type="dxa"/>
          <w:right w:w="29" w:type="dxa"/>
        </w:tblCellMar>
        <w:tblLook w:val="04A0" w:firstRow="1" w:lastRow="0" w:firstColumn="1" w:lastColumn="0" w:noHBand="0" w:noVBand="1"/>
      </w:tblPr>
      <w:tblGrid>
        <w:gridCol w:w="779"/>
        <w:gridCol w:w="779"/>
        <w:gridCol w:w="780"/>
        <w:gridCol w:w="780"/>
        <w:gridCol w:w="780"/>
        <w:gridCol w:w="780"/>
        <w:gridCol w:w="780"/>
        <w:gridCol w:w="780"/>
        <w:gridCol w:w="780"/>
        <w:gridCol w:w="780"/>
        <w:gridCol w:w="780"/>
        <w:gridCol w:w="772"/>
      </w:tblGrid>
      <w:tr w:rsidR="00C90AAE" w:rsidRPr="006D2651" w14:paraId="57FEE5E9" w14:textId="77777777" w:rsidTr="00A10F1B">
        <w:trPr>
          <w:trHeight w:val="355"/>
        </w:trPr>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339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5516E8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500A595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3811EA8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25EC59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8CEDA1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29192F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5BF520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57BA1FD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1A648AB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1E2B7CB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55CE66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4BB5515F" w14:textId="77777777" w:rsidTr="00A10F1B">
        <w:trPr>
          <w:trHeight w:val="355"/>
        </w:trPr>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113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37EBF7D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7290E2C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3B58D20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597EE39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73EEBBE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28AC4E4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7544229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51F0773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111A49D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388F237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c>
          <w:tcPr>
            <w:tcW w:w="417" w:type="pct"/>
            <w:tcBorders>
              <w:top w:val="nil"/>
              <w:left w:val="nil"/>
              <w:bottom w:val="single" w:sz="4" w:space="0" w:color="auto"/>
              <w:right w:val="single" w:sz="4" w:space="0" w:color="auto"/>
            </w:tcBorders>
            <w:shd w:val="clear" w:color="auto" w:fill="auto"/>
            <w:noWrap/>
            <w:vAlign w:val="center"/>
            <w:hideMark/>
          </w:tcPr>
          <w:p w14:paraId="6650FAE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2.00</w:t>
            </w:r>
          </w:p>
        </w:tc>
      </w:tr>
    </w:tbl>
    <w:p w14:paraId="34597CA6" w14:textId="1DAECA3F" w:rsidR="00C90AAE" w:rsidRPr="006D2651" w:rsidRDefault="00C90AAE" w:rsidP="00C90AAE">
      <w:pPr>
        <w:spacing w:before="240" w:after="0"/>
        <w:jc w:val="both"/>
        <w:rPr>
          <w:rFonts w:ascii="Times New Roman" w:hAnsi="Times New Roman"/>
          <w:sz w:val="20"/>
          <w:szCs w:val="20"/>
        </w:rPr>
      </w:pPr>
      <w:r w:rsidRPr="006D2651">
        <w:rPr>
          <w:rFonts w:ascii="Times New Roman" w:hAnsi="Times New Roman"/>
          <w:sz w:val="20"/>
          <w:szCs w:val="20"/>
        </w:rPr>
        <w:t xml:space="preserve">The capex has been assumed at ₹1,293.60 crore and </w:t>
      </w:r>
      <w:proofErr w:type="spellStart"/>
      <w:r w:rsidRPr="006D2651">
        <w:rPr>
          <w:rFonts w:ascii="Times New Roman" w:hAnsi="Times New Roman"/>
          <w:sz w:val="20"/>
          <w:szCs w:val="20"/>
        </w:rPr>
        <w:t>opex</w:t>
      </w:r>
      <w:proofErr w:type="spellEnd"/>
      <w:r w:rsidRPr="006D2651">
        <w:rPr>
          <w:rFonts w:ascii="Times New Roman" w:hAnsi="Times New Roman"/>
          <w:sz w:val="20"/>
          <w:szCs w:val="20"/>
        </w:rPr>
        <w:t xml:space="preserve"> is assumed at ₹77 crore for the first year with an escalation of 3.00 per cent per year. The tariff rates from 2017 to 2023 based on railway tariff are as follows:</w:t>
      </w:r>
    </w:p>
    <w:tbl>
      <w:tblPr>
        <w:tblW w:w="5000" w:type="pct"/>
        <w:tblLook w:val="04A0" w:firstRow="1" w:lastRow="0" w:firstColumn="1" w:lastColumn="0" w:noHBand="0" w:noVBand="1"/>
      </w:tblPr>
      <w:tblGrid>
        <w:gridCol w:w="2538"/>
        <w:gridCol w:w="1242"/>
        <w:gridCol w:w="1393"/>
        <w:gridCol w:w="1393"/>
        <w:gridCol w:w="1393"/>
        <w:gridCol w:w="1391"/>
      </w:tblGrid>
      <w:tr w:rsidR="00C90AAE" w:rsidRPr="006D2651" w14:paraId="3988BC6B" w14:textId="77777777" w:rsidTr="00A10F1B">
        <w:trPr>
          <w:trHeight w:val="206"/>
        </w:trPr>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AC37"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Year</w:t>
            </w: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3C4EB7DC"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2017</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32F052C2"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2018</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48A39C2A"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2019</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47AAE03B"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2020</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016923A2" w14:textId="77777777" w:rsidR="00C90AAE" w:rsidRPr="006D2651" w:rsidRDefault="00C90AAE" w:rsidP="00A10F1B">
            <w:pPr>
              <w:spacing w:after="0"/>
              <w:jc w:val="center"/>
              <w:rPr>
                <w:rFonts w:ascii="Times New Roman" w:eastAsia="Times New Roman" w:hAnsi="Times New Roman"/>
                <w:b/>
                <w:bCs/>
                <w:sz w:val="20"/>
                <w:szCs w:val="20"/>
                <w:lang w:val="en-GB" w:eastAsia="en-GB"/>
              </w:rPr>
            </w:pPr>
            <w:r w:rsidRPr="006D2651">
              <w:rPr>
                <w:rFonts w:ascii="Times New Roman" w:eastAsia="Times New Roman" w:hAnsi="Times New Roman"/>
                <w:b/>
                <w:bCs/>
                <w:sz w:val="20"/>
                <w:szCs w:val="20"/>
                <w:lang w:eastAsia="en-GB"/>
              </w:rPr>
              <w:t>FY 2021</w:t>
            </w:r>
          </w:p>
        </w:tc>
      </w:tr>
      <w:tr w:rsidR="00C90AAE" w:rsidRPr="006D2651" w14:paraId="090D9A9B" w14:textId="77777777" w:rsidTr="00A10F1B">
        <w:trPr>
          <w:trHeight w:val="206"/>
        </w:trPr>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220C"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Railway Freight (₹/MT)</w:t>
            </w:r>
          </w:p>
        </w:tc>
        <w:tc>
          <w:tcPr>
            <w:tcW w:w="664" w:type="pct"/>
            <w:tcBorders>
              <w:top w:val="nil"/>
              <w:left w:val="nil"/>
              <w:bottom w:val="single" w:sz="4" w:space="0" w:color="auto"/>
              <w:right w:val="single" w:sz="4" w:space="0" w:color="auto"/>
            </w:tcBorders>
            <w:shd w:val="clear" w:color="auto" w:fill="auto"/>
            <w:vAlign w:val="center"/>
          </w:tcPr>
          <w:p w14:paraId="1F740F1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745" w:type="pct"/>
            <w:tcBorders>
              <w:top w:val="nil"/>
              <w:left w:val="nil"/>
              <w:bottom w:val="single" w:sz="4" w:space="0" w:color="auto"/>
              <w:right w:val="single" w:sz="4" w:space="0" w:color="auto"/>
            </w:tcBorders>
            <w:shd w:val="clear" w:color="auto" w:fill="auto"/>
            <w:vAlign w:val="center"/>
          </w:tcPr>
          <w:p w14:paraId="42747C7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745" w:type="pct"/>
            <w:tcBorders>
              <w:top w:val="nil"/>
              <w:left w:val="nil"/>
              <w:bottom w:val="single" w:sz="4" w:space="0" w:color="auto"/>
              <w:right w:val="single" w:sz="4" w:space="0" w:color="auto"/>
            </w:tcBorders>
            <w:shd w:val="clear" w:color="auto" w:fill="auto"/>
            <w:vAlign w:val="center"/>
          </w:tcPr>
          <w:p w14:paraId="09D7AC2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745" w:type="pct"/>
            <w:tcBorders>
              <w:top w:val="nil"/>
              <w:left w:val="nil"/>
              <w:bottom w:val="single" w:sz="4" w:space="0" w:color="auto"/>
              <w:right w:val="single" w:sz="4" w:space="0" w:color="auto"/>
            </w:tcBorders>
            <w:shd w:val="clear" w:color="auto" w:fill="auto"/>
            <w:vAlign w:val="center"/>
          </w:tcPr>
          <w:p w14:paraId="31F46CF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745" w:type="pct"/>
            <w:tcBorders>
              <w:top w:val="nil"/>
              <w:left w:val="nil"/>
              <w:bottom w:val="single" w:sz="4" w:space="0" w:color="auto"/>
              <w:right w:val="single" w:sz="4" w:space="0" w:color="auto"/>
            </w:tcBorders>
            <w:shd w:val="clear" w:color="auto" w:fill="auto"/>
            <w:vAlign w:val="center"/>
          </w:tcPr>
          <w:p w14:paraId="090467C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r>
      <w:tr w:rsidR="00C90AAE" w:rsidRPr="006D2651" w14:paraId="2476EB13" w14:textId="77777777" w:rsidTr="00A10F1B">
        <w:trPr>
          <w:trHeight w:val="206"/>
        </w:trPr>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DBF6"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8335A4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745" w:type="pct"/>
            <w:tcBorders>
              <w:top w:val="single" w:sz="4" w:space="0" w:color="auto"/>
              <w:left w:val="nil"/>
              <w:bottom w:val="single" w:sz="4" w:space="0" w:color="auto"/>
              <w:right w:val="single" w:sz="4" w:space="0" w:color="auto"/>
            </w:tcBorders>
            <w:shd w:val="clear" w:color="auto" w:fill="auto"/>
            <w:vAlign w:val="center"/>
          </w:tcPr>
          <w:p w14:paraId="451B8E4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745" w:type="pct"/>
            <w:tcBorders>
              <w:top w:val="single" w:sz="4" w:space="0" w:color="auto"/>
              <w:left w:val="nil"/>
              <w:bottom w:val="single" w:sz="4" w:space="0" w:color="auto"/>
              <w:right w:val="single" w:sz="4" w:space="0" w:color="auto"/>
            </w:tcBorders>
            <w:shd w:val="clear" w:color="auto" w:fill="auto"/>
            <w:vAlign w:val="center"/>
          </w:tcPr>
          <w:p w14:paraId="4D2DA82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745" w:type="pct"/>
            <w:tcBorders>
              <w:top w:val="single" w:sz="4" w:space="0" w:color="auto"/>
              <w:left w:val="nil"/>
              <w:bottom w:val="single" w:sz="4" w:space="0" w:color="auto"/>
              <w:right w:val="single" w:sz="4" w:space="0" w:color="auto"/>
            </w:tcBorders>
            <w:shd w:val="clear" w:color="auto" w:fill="auto"/>
            <w:vAlign w:val="center"/>
          </w:tcPr>
          <w:p w14:paraId="6B99F8F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745" w:type="pct"/>
            <w:tcBorders>
              <w:top w:val="single" w:sz="4" w:space="0" w:color="auto"/>
              <w:left w:val="nil"/>
              <w:bottom w:val="single" w:sz="4" w:space="0" w:color="auto"/>
              <w:right w:val="single" w:sz="4" w:space="0" w:color="auto"/>
            </w:tcBorders>
            <w:shd w:val="clear" w:color="auto" w:fill="auto"/>
            <w:vAlign w:val="center"/>
          </w:tcPr>
          <w:p w14:paraId="0CF169D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r>
      <w:tr w:rsidR="00C90AAE" w:rsidRPr="006D2651" w14:paraId="74ACF820" w14:textId="77777777" w:rsidTr="00A10F1B">
        <w:trPr>
          <w:trHeight w:val="206"/>
        </w:trPr>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4FCB1"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(₹/MT/Km)</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2FEBC0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745" w:type="pct"/>
            <w:tcBorders>
              <w:top w:val="single" w:sz="4" w:space="0" w:color="auto"/>
              <w:left w:val="nil"/>
              <w:bottom w:val="single" w:sz="4" w:space="0" w:color="auto"/>
              <w:right w:val="single" w:sz="4" w:space="0" w:color="auto"/>
            </w:tcBorders>
            <w:shd w:val="clear" w:color="auto" w:fill="auto"/>
            <w:vAlign w:val="center"/>
          </w:tcPr>
          <w:p w14:paraId="018085C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745" w:type="pct"/>
            <w:tcBorders>
              <w:top w:val="single" w:sz="4" w:space="0" w:color="auto"/>
              <w:left w:val="nil"/>
              <w:bottom w:val="single" w:sz="4" w:space="0" w:color="auto"/>
              <w:right w:val="single" w:sz="4" w:space="0" w:color="auto"/>
            </w:tcBorders>
            <w:shd w:val="clear" w:color="auto" w:fill="auto"/>
            <w:vAlign w:val="center"/>
          </w:tcPr>
          <w:p w14:paraId="3A9906D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745" w:type="pct"/>
            <w:tcBorders>
              <w:top w:val="single" w:sz="4" w:space="0" w:color="auto"/>
              <w:left w:val="nil"/>
              <w:bottom w:val="single" w:sz="4" w:space="0" w:color="auto"/>
              <w:right w:val="single" w:sz="4" w:space="0" w:color="auto"/>
            </w:tcBorders>
            <w:shd w:val="clear" w:color="auto" w:fill="auto"/>
            <w:vAlign w:val="center"/>
          </w:tcPr>
          <w:p w14:paraId="1BA7FB4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745" w:type="pct"/>
            <w:tcBorders>
              <w:top w:val="single" w:sz="4" w:space="0" w:color="auto"/>
              <w:left w:val="nil"/>
              <w:bottom w:val="single" w:sz="4" w:space="0" w:color="auto"/>
              <w:right w:val="single" w:sz="4" w:space="0" w:color="auto"/>
            </w:tcBorders>
            <w:shd w:val="clear" w:color="auto" w:fill="auto"/>
            <w:vAlign w:val="center"/>
          </w:tcPr>
          <w:p w14:paraId="165FCFA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r>
    </w:tbl>
    <w:p w14:paraId="2AB7DD03" w14:textId="77777777" w:rsidR="00C90AAE" w:rsidRPr="006D2651" w:rsidRDefault="00C90AAE" w:rsidP="00C90AAE">
      <w:pPr>
        <w:spacing w:after="0"/>
        <w:jc w:val="both"/>
        <w:rPr>
          <w:rFonts w:ascii="Times New Roman" w:hAnsi="Times New Roman"/>
          <w:sz w:val="20"/>
          <w:szCs w:val="20"/>
          <w:u w:val="single"/>
        </w:rPr>
      </w:pPr>
    </w:p>
    <w:tbl>
      <w:tblPr>
        <w:tblW w:w="5000" w:type="pct"/>
        <w:tblLook w:val="04A0" w:firstRow="1" w:lastRow="0" w:firstColumn="1" w:lastColumn="0" w:noHBand="0" w:noVBand="1"/>
      </w:tblPr>
      <w:tblGrid>
        <w:gridCol w:w="2958"/>
        <w:gridCol w:w="2132"/>
        <w:gridCol w:w="2132"/>
        <w:gridCol w:w="2128"/>
      </w:tblGrid>
      <w:tr w:rsidR="00C90AAE" w:rsidRPr="006D2651" w14:paraId="66A7C7C8" w14:textId="77777777" w:rsidTr="00A10F1B">
        <w:trPr>
          <w:trHeight w:val="206"/>
        </w:trPr>
        <w:tc>
          <w:tcPr>
            <w:tcW w:w="1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67974"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Year</w:t>
            </w:r>
          </w:p>
        </w:tc>
        <w:tc>
          <w:tcPr>
            <w:tcW w:w="1140" w:type="pct"/>
            <w:tcBorders>
              <w:top w:val="single" w:sz="4" w:space="0" w:color="auto"/>
              <w:left w:val="nil"/>
              <w:bottom w:val="single" w:sz="4" w:space="0" w:color="auto"/>
              <w:right w:val="single" w:sz="4" w:space="0" w:color="auto"/>
            </w:tcBorders>
            <w:shd w:val="clear" w:color="auto" w:fill="auto"/>
            <w:vAlign w:val="center"/>
          </w:tcPr>
          <w:p w14:paraId="0F8E4E48"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2022</w:t>
            </w:r>
          </w:p>
        </w:tc>
        <w:tc>
          <w:tcPr>
            <w:tcW w:w="1140" w:type="pct"/>
            <w:tcBorders>
              <w:top w:val="single" w:sz="4" w:space="0" w:color="auto"/>
              <w:left w:val="nil"/>
              <w:bottom w:val="single" w:sz="4" w:space="0" w:color="auto"/>
              <w:right w:val="single" w:sz="4" w:space="0" w:color="auto"/>
            </w:tcBorders>
            <w:shd w:val="clear" w:color="auto" w:fill="auto"/>
            <w:vAlign w:val="center"/>
          </w:tcPr>
          <w:p w14:paraId="615DCC4A"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2023</w:t>
            </w:r>
          </w:p>
        </w:tc>
        <w:tc>
          <w:tcPr>
            <w:tcW w:w="1139" w:type="pct"/>
            <w:tcBorders>
              <w:top w:val="single" w:sz="4" w:space="0" w:color="auto"/>
              <w:left w:val="nil"/>
              <w:bottom w:val="single" w:sz="4" w:space="0" w:color="auto"/>
              <w:right w:val="single" w:sz="4" w:space="0" w:color="auto"/>
            </w:tcBorders>
            <w:shd w:val="clear" w:color="auto" w:fill="auto"/>
            <w:vAlign w:val="center"/>
          </w:tcPr>
          <w:p w14:paraId="66730C32" w14:textId="77777777" w:rsidR="00C90AAE" w:rsidRPr="006D2651" w:rsidRDefault="00C90AAE" w:rsidP="00A10F1B">
            <w:pPr>
              <w:spacing w:after="0"/>
              <w:jc w:val="center"/>
              <w:rPr>
                <w:rFonts w:ascii="Times New Roman" w:eastAsia="Times New Roman" w:hAnsi="Times New Roman"/>
                <w:b/>
                <w:bCs/>
                <w:sz w:val="20"/>
                <w:szCs w:val="20"/>
                <w:lang w:eastAsia="en-GB"/>
              </w:rPr>
            </w:pPr>
            <w:r w:rsidRPr="006D2651">
              <w:rPr>
                <w:rFonts w:ascii="Times New Roman" w:eastAsia="Times New Roman" w:hAnsi="Times New Roman"/>
                <w:b/>
                <w:bCs/>
                <w:sz w:val="20"/>
                <w:szCs w:val="20"/>
                <w:lang w:eastAsia="en-GB"/>
              </w:rPr>
              <w:t>FY 2024</w:t>
            </w:r>
          </w:p>
        </w:tc>
      </w:tr>
      <w:tr w:rsidR="00C90AAE" w:rsidRPr="006D2651" w14:paraId="51F1553B" w14:textId="77777777" w:rsidTr="00A10F1B">
        <w:trPr>
          <w:trHeight w:val="206"/>
        </w:trPr>
        <w:tc>
          <w:tcPr>
            <w:tcW w:w="1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839E5"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Railway Freight (₹/MT)</w:t>
            </w:r>
          </w:p>
        </w:tc>
        <w:tc>
          <w:tcPr>
            <w:tcW w:w="1140" w:type="pct"/>
            <w:tcBorders>
              <w:top w:val="nil"/>
              <w:left w:val="nil"/>
              <w:bottom w:val="single" w:sz="4" w:space="0" w:color="auto"/>
              <w:right w:val="single" w:sz="4" w:space="0" w:color="auto"/>
            </w:tcBorders>
            <w:vAlign w:val="center"/>
          </w:tcPr>
          <w:p w14:paraId="49C1D1C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1140" w:type="pct"/>
            <w:tcBorders>
              <w:top w:val="nil"/>
              <w:left w:val="nil"/>
              <w:bottom w:val="single" w:sz="4" w:space="0" w:color="auto"/>
              <w:right w:val="single" w:sz="4" w:space="0" w:color="auto"/>
            </w:tcBorders>
            <w:vAlign w:val="center"/>
          </w:tcPr>
          <w:p w14:paraId="2B9A3D2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c>
          <w:tcPr>
            <w:tcW w:w="1139" w:type="pct"/>
            <w:tcBorders>
              <w:top w:val="nil"/>
              <w:left w:val="nil"/>
              <w:bottom w:val="single" w:sz="4" w:space="0" w:color="auto"/>
              <w:right w:val="single" w:sz="4" w:space="0" w:color="auto"/>
            </w:tcBorders>
            <w:vAlign w:val="center"/>
          </w:tcPr>
          <w:p w14:paraId="5728C3E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1,357.70</w:t>
            </w:r>
          </w:p>
        </w:tc>
      </w:tr>
      <w:tr w:rsidR="00C90AAE" w:rsidRPr="006D2651" w14:paraId="2BD4DBDF" w14:textId="77777777" w:rsidTr="00A10F1B">
        <w:trPr>
          <w:trHeight w:val="206"/>
        </w:trPr>
        <w:tc>
          <w:tcPr>
            <w:tcW w:w="1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F951F"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w:t>
            </w:r>
          </w:p>
        </w:tc>
        <w:tc>
          <w:tcPr>
            <w:tcW w:w="1140" w:type="pct"/>
            <w:tcBorders>
              <w:top w:val="single" w:sz="4" w:space="0" w:color="auto"/>
              <w:left w:val="nil"/>
              <w:bottom w:val="single" w:sz="4" w:space="0" w:color="auto"/>
              <w:right w:val="single" w:sz="4" w:space="0" w:color="auto"/>
            </w:tcBorders>
            <w:shd w:val="clear" w:color="auto" w:fill="auto"/>
            <w:vAlign w:val="center"/>
          </w:tcPr>
          <w:p w14:paraId="17E8943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1140" w:type="pct"/>
            <w:tcBorders>
              <w:top w:val="single" w:sz="4" w:space="0" w:color="auto"/>
              <w:left w:val="nil"/>
              <w:bottom w:val="single" w:sz="4" w:space="0" w:color="auto"/>
              <w:right w:val="single" w:sz="4" w:space="0" w:color="auto"/>
            </w:tcBorders>
            <w:shd w:val="clear" w:color="auto" w:fill="auto"/>
            <w:vAlign w:val="center"/>
          </w:tcPr>
          <w:p w14:paraId="5089CBA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c>
          <w:tcPr>
            <w:tcW w:w="1139" w:type="pct"/>
            <w:tcBorders>
              <w:top w:val="single" w:sz="4" w:space="0" w:color="auto"/>
              <w:left w:val="nil"/>
              <w:bottom w:val="single" w:sz="4" w:space="0" w:color="auto"/>
              <w:right w:val="single" w:sz="4" w:space="0" w:color="auto"/>
            </w:tcBorders>
            <w:vAlign w:val="center"/>
          </w:tcPr>
          <w:p w14:paraId="5157AEA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1018.28</w:t>
            </w:r>
          </w:p>
        </w:tc>
      </w:tr>
      <w:tr w:rsidR="00C90AAE" w:rsidRPr="006D2651" w14:paraId="6BC4AAFE" w14:textId="77777777" w:rsidTr="00A10F1B">
        <w:trPr>
          <w:trHeight w:val="206"/>
        </w:trPr>
        <w:tc>
          <w:tcPr>
            <w:tcW w:w="15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3B642" w14:textId="77777777" w:rsidR="00C90AAE" w:rsidRPr="006D2651" w:rsidRDefault="00C90AAE" w:rsidP="00A10F1B">
            <w:pPr>
              <w:spacing w:after="0"/>
              <w:jc w:val="both"/>
              <w:rPr>
                <w:rFonts w:ascii="Times New Roman" w:eastAsia="Times New Roman" w:hAnsi="Times New Roman"/>
                <w:sz w:val="20"/>
                <w:szCs w:val="20"/>
                <w:lang w:val="en-GB" w:eastAsia="en-GB"/>
              </w:rPr>
            </w:pPr>
            <w:r w:rsidRPr="006D2651">
              <w:rPr>
                <w:rFonts w:ascii="Times New Roman" w:eastAsia="Times New Roman" w:hAnsi="Times New Roman"/>
                <w:sz w:val="20"/>
                <w:szCs w:val="20"/>
                <w:lang w:val="en-GB" w:eastAsia="en-GB"/>
              </w:rPr>
              <w:t>Pipeline Tariff (₹/MT/Km)</w:t>
            </w:r>
          </w:p>
        </w:tc>
        <w:tc>
          <w:tcPr>
            <w:tcW w:w="1140" w:type="pct"/>
            <w:tcBorders>
              <w:top w:val="single" w:sz="4" w:space="0" w:color="auto"/>
              <w:left w:val="nil"/>
              <w:bottom w:val="single" w:sz="4" w:space="0" w:color="auto"/>
              <w:right w:val="single" w:sz="4" w:space="0" w:color="auto"/>
            </w:tcBorders>
            <w:shd w:val="clear" w:color="auto" w:fill="auto"/>
            <w:vAlign w:val="center"/>
          </w:tcPr>
          <w:p w14:paraId="4973B6F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1140" w:type="pct"/>
            <w:tcBorders>
              <w:top w:val="single" w:sz="4" w:space="0" w:color="auto"/>
              <w:left w:val="nil"/>
              <w:bottom w:val="single" w:sz="4" w:space="0" w:color="auto"/>
              <w:right w:val="single" w:sz="4" w:space="0" w:color="auto"/>
            </w:tcBorders>
            <w:shd w:val="clear" w:color="auto" w:fill="auto"/>
            <w:vAlign w:val="center"/>
          </w:tcPr>
          <w:p w14:paraId="773E723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1139" w:type="pct"/>
            <w:tcBorders>
              <w:top w:val="single" w:sz="4" w:space="0" w:color="auto"/>
              <w:left w:val="nil"/>
              <w:bottom w:val="single" w:sz="4" w:space="0" w:color="auto"/>
              <w:right w:val="single" w:sz="4" w:space="0" w:color="auto"/>
            </w:tcBorders>
            <w:vAlign w:val="center"/>
          </w:tcPr>
          <w:p w14:paraId="31B0EEC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r>
    </w:tbl>
    <w:p w14:paraId="72E0D1A6" w14:textId="77777777" w:rsidR="00C90AAE" w:rsidRPr="006D2651" w:rsidRDefault="00C90AAE" w:rsidP="00C90AAE">
      <w:pPr>
        <w:spacing w:before="240"/>
        <w:rPr>
          <w:rFonts w:ascii="Times New Roman" w:hAnsi="Times New Roman"/>
          <w:sz w:val="20"/>
          <w:szCs w:val="20"/>
        </w:rPr>
      </w:pPr>
      <w:r w:rsidRPr="006D2651">
        <w:rPr>
          <w:rFonts w:ascii="Times New Roman" w:hAnsi="Times New Roman"/>
          <w:sz w:val="20"/>
          <w:szCs w:val="20"/>
        </w:rPr>
        <w:t>Cash flows for these 8 years are as per the table below:</w:t>
      </w:r>
    </w:p>
    <w:tbl>
      <w:tblPr>
        <w:tblW w:w="9586" w:type="dxa"/>
        <w:tblLook w:val="04A0" w:firstRow="1" w:lastRow="0" w:firstColumn="1" w:lastColumn="0" w:noHBand="0" w:noVBand="1"/>
      </w:tblPr>
      <w:tblGrid>
        <w:gridCol w:w="2783"/>
        <w:gridCol w:w="1578"/>
        <w:gridCol w:w="1239"/>
        <w:gridCol w:w="1121"/>
        <w:gridCol w:w="955"/>
        <w:gridCol w:w="955"/>
        <w:gridCol w:w="955"/>
      </w:tblGrid>
      <w:tr w:rsidR="00C90AAE" w:rsidRPr="006D2651" w14:paraId="42AEDAB3" w14:textId="77777777" w:rsidTr="00A10F1B">
        <w:trPr>
          <w:trHeight w:val="260"/>
          <w:tblHeader/>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C56A"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578" w:type="dxa"/>
            <w:tcBorders>
              <w:top w:val="single" w:sz="4" w:space="0" w:color="auto"/>
              <w:left w:val="nil"/>
              <w:bottom w:val="single" w:sz="4" w:space="0" w:color="auto"/>
              <w:right w:val="single" w:sz="4" w:space="0" w:color="auto"/>
            </w:tcBorders>
            <w:shd w:val="clear" w:color="auto" w:fill="auto"/>
            <w:vAlign w:val="center"/>
          </w:tcPr>
          <w:p w14:paraId="31BD53F1"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15A0"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 -1</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002C6323"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Y1</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41E3D82F"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Y2</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CE94BD4"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Y3</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D0EFA8C"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Y4</w:t>
            </w:r>
          </w:p>
        </w:tc>
      </w:tr>
      <w:tr w:rsidR="00C90AAE" w:rsidRPr="006D2651" w14:paraId="394B1EFC"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4908D906"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Pipeline Tariff (₹/MT/km)</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737A866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32BB5" w14:textId="77777777" w:rsidR="00C90AAE" w:rsidRPr="006D2651" w:rsidRDefault="00C90AAE" w:rsidP="00A10F1B">
            <w:pPr>
              <w:spacing w:after="0"/>
              <w:jc w:val="center"/>
              <w:rPr>
                <w:rFonts w:ascii="Times New Roman" w:hAnsi="Times New Roman"/>
                <w:color w:val="000000"/>
                <w:sz w:val="20"/>
                <w:szCs w:val="20"/>
              </w:rPr>
            </w:pP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4930963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67FED50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63F57B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714F01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r>
      <w:tr w:rsidR="00C90AAE" w:rsidRPr="006D2651" w14:paraId="7F43635E"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11F07CB8"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Inflow</w:t>
            </w:r>
          </w:p>
        </w:tc>
        <w:tc>
          <w:tcPr>
            <w:tcW w:w="1578" w:type="dxa"/>
            <w:tcBorders>
              <w:top w:val="nil"/>
              <w:left w:val="single" w:sz="4" w:space="0" w:color="auto"/>
              <w:bottom w:val="single" w:sz="4" w:space="0" w:color="auto"/>
              <w:right w:val="single" w:sz="4" w:space="0" w:color="auto"/>
            </w:tcBorders>
            <w:shd w:val="clear" w:color="auto" w:fill="auto"/>
            <w:vAlign w:val="center"/>
          </w:tcPr>
          <w:p w14:paraId="51ED6A25"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1C0DFC56" w14:textId="77777777" w:rsidR="00C90AAE" w:rsidRPr="006D2651" w:rsidRDefault="00C90AAE" w:rsidP="00A10F1B">
            <w:pPr>
              <w:spacing w:after="0"/>
              <w:jc w:val="center"/>
              <w:rPr>
                <w:rFonts w:ascii="Times New Roman" w:hAnsi="Times New Roman"/>
                <w:color w:val="000000"/>
                <w:sz w:val="20"/>
                <w:szCs w:val="20"/>
              </w:rPr>
            </w:pPr>
          </w:p>
        </w:tc>
        <w:tc>
          <w:tcPr>
            <w:tcW w:w="1121" w:type="dxa"/>
            <w:tcBorders>
              <w:top w:val="nil"/>
              <w:left w:val="nil"/>
              <w:bottom w:val="single" w:sz="4" w:space="0" w:color="auto"/>
              <w:right w:val="single" w:sz="4" w:space="0" w:color="auto"/>
            </w:tcBorders>
            <w:shd w:val="clear" w:color="auto" w:fill="auto"/>
            <w:noWrap/>
            <w:vAlign w:val="center"/>
            <w:hideMark/>
          </w:tcPr>
          <w:p w14:paraId="5F96427C"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228187AF"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5E3F08FB"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33487F2B"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7140550B"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574809AE"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Revenues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01A82DD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A* Volume</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2BF3F5A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121" w:type="dxa"/>
            <w:tcBorders>
              <w:top w:val="nil"/>
              <w:left w:val="nil"/>
              <w:bottom w:val="single" w:sz="4" w:space="0" w:color="auto"/>
              <w:right w:val="single" w:sz="4" w:space="0" w:color="auto"/>
            </w:tcBorders>
            <w:shd w:val="clear" w:color="auto" w:fill="auto"/>
            <w:noWrap/>
            <w:vAlign w:val="center"/>
            <w:hideMark/>
          </w:tcPr>
          <w:p w14:paraId="4923483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61.10</w:t>
            </w:r>
          </w:p>
        </w:tc>
        <w:tc>
          <w:tcPr>
            <w:tcW w:w="955" w:type="dxa"/>
            <w:tcBorders>
              <w:top w:val="nil"/>
              <w:left w:val="nil"/>
              <w:bottom w:val="single" w:sz="4" w:space="0" w:color="auto"/>
              <w:right w:val="single" w:sz="4" w:space="0" w:color="auto"/>
            </w:tcBorders>
            <w:shd w:val="clear" w:color="auto" w:fill="auto"/>
            <w:noWrap/>
            <w:vAlign w:val="center"/>
            <w:hideMark/>
          </w:tcPr>
          <w:p w14:paraId="6995DE0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71.28</w:t>
            </w:r>
          </w:p>
        </w:tc>
        <w:tc>
          <w:tcPr>
            <w:tcW w:w="955" w:type="dxa"/>
            <w:tcBorders>
              <w:top w:val="nil"/>
              <w:left w:val="nil"/>
              <w:bottom w:val="single" w:sz="4" w:space="0" w:color="auto"/>
              <w:right w:val="single" w:sz="4" w:space="0" w:color="auto"/>
            </w:tcBorders>
            <w:shd w:val="clear" w:color="auto" w:fill="auto"/>
            <w:noWrap/>
            <w:vAlign w:val="center"/>
            <w:hideMark/>
          </w:tcPr>
          <w:p w14:paraId="357285C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81.46</w:t>
            </w:r>
          </w:p>
        </w:tc>
        <w:tc>
          <w:tcPr>
            <w:tcW w:w="955" w:type="dxa"/>
            <w:tcBorders>
              <w:top w:val="nil"/>
              <w:left w:val="nil"/>
              <w:bottom w:val="single" w:sz="4" w:space="0" w:color="auto"/>
              <w:right w:val="single" w:sz="4" w:space="0" w:color="auto"/>
            </w:tcBorders>
            <w:shd w:val="clear" w:color="auto" w:fill="auto"/>
            <w:noWrap/>
            <w:vAlign w:val="center"/>
            <w:hideMark/>
          </w:tcPr>
          <w:p w14:paraId="0582429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91.65</w:t>
            </w:r>
          </w:p>
        </w:tc>
      </w:tr>
      <w:tr w:rsidR="00C90AAE" w:rsidRPr="006D2651" w14:paraId="31C9B566"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4C0B72D1"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lastRenderedPageBreak/>
              <w:t>Cash Outflow</w:t>
            </w:r>
          </w:p>
        </w:tc>
        <w:tc>
          <w:tcPr>
            <w:tcW w:w="1578" w:type="dxa"/>
            <w:tcBorders>
              <w:top w:val="nil"/>
              <w:left w:val="single" w:sz="4" w:space="0" w:color="auto"/>
              <w:bottom w:val="single" w:sz="4" w:space="0" w:color="auto"/>
              <w:right w:val="single" w:sz="4" w:space="0" w:color="auto"/>
            </w:tcBorders>
            <w:shd w:val="clear" w:color="auto" w:fill="auto"/>
            <w:vAlign w:val="center"/>
          </w:tcPr>
          <w:p w14:paraId="6E40A47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40F1B887" w14:textId="77777777" w:rsidR="00C90AAE" w:rsidRPr="006D2651" w:rsidRDefault="00C90AAE" w:rsidP="00A10F1B">
            <w:pPr>
              <w:spacing w:after="0"/>
              <w:jc w:val="center"/>
              <w:rPr>
                <w:rFonts w:ascii="Times New Roman" w:hAnsi="Times New Roman"/>
                <w:color w:val="000000"/>
                <w:sz w:val="20"/>
                <w:szCs w:val="20"/>
              </w:rPr>
            </w:pPr>
          </w:p>
        </w:tc>
        <w:tc>
          <w:tcPr>
            <w:tcW w:w="1121" w:type="dxa"/>
            <w:tcBorders>
              <w:top w:val="nil"/>
              <w:left w:val="nil"/>
              <w:bottom w:val="single" w:sz="4" w:space="0" w:color="auto"/>
              <w:right w:val="single" w:sz="4" w:space="0" w:color="auto"/>
            </w:tcBorders>
            <w:shd w:val="clear" w:color="auto" w:fill="auto"/>
            <w:noWrap/>
            <w:vAlign w:val="center"/>
            <w:hideMark/>
          </w:tcPr>
          <w:p w14:paraId="1440EA7D"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19706FEA"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098227D2" w14:textId="77777777" w:rsidR="00C90AAE" w:rsidRPr="006D2651" w:rsidRDefault="00C90AAE" w:rsidP="00A10F1B">
            <w:pPr>
              <w:spacing w:after="0"/>
              <w:jc w:val="center"/>
              <w:rPr>
                <w:rFonts w:ascii="Times New Roman" w:hAnsi="Times New Roman"/>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center"/>
            <w:hideMark/>
          </w:tcPr>
          <w:p w14:paraId="613E6586"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36A36C09"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2240DD3A"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Capex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2D73C56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C</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4D67BC6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1,293.60</w:t>
            </w:r>
          </w:p>
        </w:tc>
        <w:tc>
          <w:tcPr>
            <w:tcW w:w="1121" w:type="dxa"/>
            <w:tcBorders>
              <w:top w:val="nil"/>
              <w:left w:val="nil"/>
              <w:bottom w:val="single" w:sz="4" w:space="0" w:color="auto"/>
              <w:right w:val="single" w:sz="4" w:space="0" w:color="auto"/>
            </w:tcBorders>
            <w:shd w:val="clear" w:color="auto" w:fill="auto"/>
            <w:noWrap/>
            <w:vAlign w:val="center"/>
            <w:hideMark/>
          </w:tcPr>
          <w:p w14:paraId="1FB3B50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14:paraId="4C349FD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14:paraId="19E3D95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14:paraId="55158BD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r>
      <w:tr w:rsidR="00C90AAE" w:rsidRPr="006D2651" w14:paraId="6BC6D578"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36746B70"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2B4A7D2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D</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63B1313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121" w:type="dxa"/>
            <w:tcBorders>
              <w:top w:val="nil"/>
              <w:left w:val="nil"/>
              <w:bottom w:val="single" w:sz="4" w:space="0" w:color="auto"/>
              <w:right w:val="single" w:sz="4" w:space="0" w:color="auto"/>
            </w:tcBorders>
            <w:shd w:val="clear" w:color="auto" w:fill="auto"/>
            <w:noWrap/>
            <w:vAlign w:val="center"/>
            <w:hideMark/>
          </w:tcPr>
          <w:p w14:paraId="1FB9ED3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77.00</w:t>
            </w:r>
          </w:p>
        </w:tc>
        <w:tc>
          <w:tcPr>
            <w:tcW w:w="955" w:type="dxa"/>
            <w:tcBorders>
              <w:top w:val="nil"/>
              <w:left w:val="nil"/>
              <w:bottom w:val="single" w:sz="4" w:space="0" w:color="auto"/>
              <w:right w:val="single" w:sz="4" w:space="0" w:color="auto"/>
            </w:tcBorders>
            <w:shd w:val="clear" w:color="auto" w:fill="auto"/>
            <w:noWrap/>
            <w:vAlign w:val="center"/>
            <w:hideMark/>
          </w:tcPr>
          <w:p w14:paraId="3ACE0F7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79.31</w:t>
            </w:r>
          </w:p>
        </w:tc>
        <w:tc>
          <w:tcPr>
            <w:tcW w:w="955" w:type="dxa"/>
            <w:tcBorders>
              <w:top w:val="nil"/>
              <w:left w:val="nil"/>
              <w:bottom w:val="single" w:sz="4" w:space="0" w:color="auto"/>
              <w:right w:val="single" w:sz="4" w:space="0" w:color="auto"/>
            </w:tcBorders>
            <w:shd w:val="clear" w:color="auto" w:fill="auto"/>
            <w:noWrap/>
            <w:vAlign w:val="center"/>
            <w:hideMark/>
          </w:tcPr>
          <w:p w14:paraId="0E34938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81.69</w:t>
            </w:r>
          </w:p>
        </w:tc>
        <w:tc>
          <w:tcPr>
            <w:tcW w:w="955" w:type="dxa"/>
            <w:tcBorders>
              <w:top w:val="nil"/>
              <w:left w:val="nil"/>
              <w:bottom w:val="single" w:sz="4" w:space="0" w:color="auto"/>
              <w:right w:val="single" w:sz="4" w:space="0" w:color="auto"/>
            </w:tcBorders>
            <w:shd w:val="clear" w:color="auto" w:fill="auto"/>
            <w:noWrap/>
            <w:vAlign w:val="center"/>
            <w:hideMark/>
          </w:tcPr>
          <w:p w14:paraId="120BDA6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84.14</w:t>
            </w:r>
          </w:p>
        </w:tc>
      </w:tr>
      <w:tr w:rsidR="00C90AAE" w:rsidRPr="006D2651" w14:paraId="10E51DB4" w14:textId="77777777" w:rsidTr="00A10F1B">
        <w:trPr>
          <w:trHeight w:val="260"/>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14:paraId="45F848F1"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Net cash flow Pre-Tax for project IRR (₹/ crore)</w:t>
            </w:r>
          </w:p>
        </w:tc>
        <w:tc>
          <w:tcPr>
            <w:tcW w:w="1578" w:type="dxa"/>
            <w:tcBorders>
              <w:top w:val="nil"/>
              <w:left w:val="single" w:sz="4" w:space="0" w:color="auto"/>
              <w:bottom w:val="single" w:sz="4" w:space="0" w:color="auto"/>
              <w:right w:val="single" w:sz="4" w:space="0" w:color="auto"/>
            </w:tcBorders>
            <w:shd w:val="clear" w:color="auto" w:fill="auto"/>
            <w:vAlign w:val="center"/>
          </w:tcPr>
          <w:p w14:paraId="6113123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 C - D</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14:paraId="33AE27C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(1,293.60)</w:t>
            </w:r>
          </w:p>
        </w:tc>
        <w:tc>
          <w:tcPr>
            <w:tcW w:w="1121" w:type="dxa"/>
            <w:tcBorders>
              <w:top w:val="nil"/>
              <w:left w:val="nil"/>
              <w:bottom w:val="single" w:sz="4" w:space="0" w:color="auto"/>
              <w:right w:val="single" w:sz="4" w:space="0" w:color="auto"/>
            </w:tcBorders>
            <w:shd w:val="clear" w:color="auto" w:fill="auto"/>
            <w:noWrap/>
            <w:vAlign w:val="center"/>
            <w:hideMark/>
          </w:tcPr>
          <w:p w14:paraId="3B3839A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(15.90)</w:t>
            </w:r>
          </w:p>
        </w:tc>
        <w:tc>
          <w:tcPr>
            <w:tcW w:w="955" w:type="dxa"/>
            <w:tcBorders>
              <w:top w:val="nil"/>
              <w:left w:val="nil"/>
              <w:bottom w:val="single" w:sz="4" w:space="0" w:color="auto"/>
              <w:right w:val="single" w:sz="4" w:space="0" w:color="auto"/>
            </w:tcBorders>
            <w:shd w:val="clear" w:color="auto" w:fill="auto"/>
            <w:noWrap/>
            <w:vAlign w:val="center"/>
            <w:hideMark/>
          </w:tcPr>
          <w:p w14:paraId="7707D4D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(8.03)</w:t>
            </w:r>
          </w:p>
        </w:tc>
        <w:tc>
          <w:tcPr>
            <w:tcW w:w="955" w:type="dxa"/>
            <w:tcBorders>
              <w:top w:val="nil"/>
              <w:left w:val="nil"/>
              <w:bottom w:val="single" w:sz="4" w:space="0" w:color="auto"/>
              <w:right w:val="single" w:sz="4" w:space="0" w:color="auto"/>
            </w:tcBorders>
            <w:shd w:val="clear" w:color="auto" w:fill="auto"/>
            <w:noWrap/>
            <w:vAlign w:val="center"/>
            <w:hideMark/>
          </w:tcPr>
          <w:p w14:paraId="027E1A6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(0.23)</w:t>
            </w:r>
          </w:p>
        </w:tc>
        <w:tc>
          <w:tcPr>
            <w:tcW w:w="955" w:type="dxa"/>
            <w:tcBorders>
              <w:top w:val="nil"/>
              <w:left w:val="nil"/>
              <w:bottom w:val="single" w:sz="4" w:space="0" w:color="auto"/>
              <w:right w:val="single" w:sz="4" w:space="0" w:color="auto"/>
            </w:tcBorders>
            <w:shd w:val="clear" w:color="auto" w:fill="auto"/>
            <w:noWrap/>
            <w:vAlign w:val="center"/>
            <w:hideMark/>
          </w:tcPr>
          <w:p w14:paraId="3AC7752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7.51</w:t>
            </w:r>
          </w:p>
        </w:tc>
      </w:tr>
    </w:tbl>
    <w:p w14:paraId="40B13B09" w14:textId="77777777" w:rsidR="00C90AAE" w:rsidRPr="006D2651" w:rsidRDefault="00C90AAE" w:rsidP="00C90AAE">
      <w:pPr>
        <w:spacing w:after="0"/>
        <w:jc w:val="both"/>
        <w:rPr>
          <w:rFonts w:ascii="Times New Roman" w:hAnsi="Times New Roman"/>
          <w:sz w:val="20"/>
          <w:szCs w:val="20"/>
          <w:u w:val="single"/>
        </w:rPr>
      </w:pPr>
    </w:p>
    <w:tbl>
      <w:tblPr>
        <w:tblW w:w="9588" w:type="dxa"/>
        <w:tblLook w:val="04A0" w:firstRow="1" w:lastRow="0" w:firstColumn="1" w:lastColumn="0" w:noHBand="0" w:noVBand="1"/>
      </w:tblPr>
      <w:tblGrid>
        <w:gridCol w:w="2830"/>
        <w:gridCol w:w="1560"/>
        <w:gridCol w:w="2071"/>
        <w:gridCol w:w="1143"/>
        <w:gridCol w:w="992"/>
        <w:gridCol w:w="992"/>
      </w:tblGrid>
      <w:tr w:rsidR="00C90AAE" w:rsidRPr="006D2651" w14:paraId="1052CD51" w14:textId="77777777" w:rsidTr="00A10F1B">
        <w:trPr>
          <w:trHeight w:val="260"/>
          <w:tblHead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AE65"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5948A3"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3D4456ED"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Y5</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01C7A768"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36DE412"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Y7</w:t>
            </w:r>
          </w:p>
        </w:tc>
        <w:tc>
          <w:tcPr>
            <w:tcW w:w="992" w:type="dxa"/>
            <w:tcBorders>
              <w:top w:val="single" w:sz="4" w:space="0" w:color="auto"/>
              <w:left w:val="nil"/>
              <w:bottom w:val="single" w:sz="4" w:space="0" w:color="auto"/>
              <w:right w:val="single" w:sz="4" w:space="0" w:color="auto"/>
            </w:tcBorders>
            <w:shd w:val="clear" w:color="auto" w:fill="auto"/>
            <w:vAlign w:val="center"/>
          </w:tcPr>
          <w:p w14:paraId="09D37597"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Y8</w:t>
            </w:r>
          </w:p>
        </w:tc>
      </w:tr>
      <w:tr w:rsidR="00C90AAE" w:rsidRPr="006D2651" w14:paraId="2883A19C"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39B5D63"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Pipeline Tariff (₹/MT/km)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5A8B5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4E9F489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4FAFA79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992" w:type="dxa"/>
            <w:tcBorders>
              <w:top w:val="single" w:sz="4" w:space="0" w:color="auto"/>
              <w:left w:val="nil"/>
              <w:bottom w:val="single" w:sz="4" w:space="0" w:color="auto"/>
              <w:right w:val="single" w:sz="4" w:space="0" w:color="auto"/>
            </w:tcBorders>
            <w:noWrap/>
            <w:vAlign w:val="center"/>
            <w:hideMark/>
          </w:tcPr>
          <w:p w14:paraId="20BDE9B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c>
          <w:tcPr>
            <w:tcW w:w="992" w:type="dxa"/>
            <w:tcBorders>
              <w:top w:val="single" w:sz="4" w:space="0" w:color="auto"/>
              <w:left w:val="nil"/>
              <w:bottom w:val="single" w:sz="4" w:space="0" w:color="auto"/>
              <w:right w:val="single" w:sz="4" w:space="0" w:color="auto"/>
            </w:tcBorders>
            <w:vAlign w:val="center"/>
          </w:tcPr>
          <w:p w14:paraId="30BB9D0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1.32</w:t>
            </w:r>
          </w:p>
        </w:tc>
      </w:tr>
      <w:tr w:rsidR="00C90AAE" w:rsidRPr="006D2651" w14:paraId="73AB88AB"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CDB9A83"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Inflow</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C3804F"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2071" w:type="dxa"/>
            <w:tcBorders>
              <w:top w:val="nil"/>
              <w:left w:val="nil"/>
              <w:bottom w:val="single" w:sz="4" w:space="0" w:color="auto"/>
              <w:right w:val="single" w:sz="4" w:space="0" w:color="auto"/>
            </w:tcBorders>
            <w:shd w:val="clear" w:color="auto" w:fill="auto"/>
            <w:noWrap/>
            <w:vAlign w:val="center"/>
            <w:hideMark/>
          </w:tcPr>
          <w:p w14:paraId="3A1E460B" w14:textId="77777777" w:rsidR="00C90AAE" w:rsidRPr="006D2651" w:rsidRDefault="00C90AAE" w:rsidP="00A10F1B">
            <w:pPr>
              <w:spacing w:after="0"/>
              <w:jc w:val="center"/>
              <w:rPr>
                <w:rFonts w:ascii="Times New Roman" w:hAnsi="Times New Roman"/>
                <w:color w:val="000000"/>
                <w:sz w:val="20"/>
                <w:szCs w:val="20"/>
              </w:rPr>
            </w:pPr>
          </w:p>
        </w:tc>
        <w:tc>
          <w:tcPr>
            <w:tcW w:w="1143" w:type="dxa"/>
            <w:tcBorders>
              <w:top w:val="nil"/>
              <w:left w:val="nil"/>
              <w:bottom w:val="single" w:sz="4" w:space="0" w:color="auto"/>
              <w:right w:val="single" w:sz="4" w:space="0" w:color="auto"/>
            </w:tcBorders>
            <w:shd w:val="clear" w:color="auto" w:fill="auto"/>
            <w:noWrap/>
            <w:vAlign w:val="center"/>
            <w:hideMark/>
          </w:tcPr>
          <w:p w14:paraId="3671EAD7" w14:textId="77777777" w:rsidR="00C90AAE" w:rsidRPr="006D2651" w:rsidRDefault="00C90AAE" w:rsidP="00A10F1B">
            <w:pPr>
              <w:spacing w:after="0"/>
              <w:jc w:val="center"/>
              <w:rPr>
                <w:rFonts w:ascii="Times New Roman" w:hAnsi="Times New Roman"/>
                <w:color w:val="000000"/>
                <w:sz w:val="20"/>
                <w:szCs w:val="20"/>
              </w:rPr>
            </w:pPr>
          </w:p>
        </w:tc>
        <w:tc>
          <w:tcPr>
            <w:tcW w:w="992" w:type="dxa"/>
            <w:tcBorders>
              <w:top w:val="nil"/>
              <w:left w:val="nil"/>
              <w:bottom w:val="single" w:sz="4" w:space="0" w:color="auto"/>
              <w:right w:val="single" w:sz="4" w:space="0" w:color="auto"/>
            </w:tcBorders>
            <w:noWrap/>
            <w:vAlign w:val="center"/>
            <w:hideMark/>
          </w:tcPr>
          <w:p w14:paraId="4B4B0196" w14:textId="77777777" w:rsidR="00C90AAE" w:rsidRPr="006D2651" w:rsidRDefault="00C90AAE" w:rsidP="00A10F1B">
            <w:pPr>
              <w:spacing w:after="0"/>
              <w:jc w:val="center"/>
              <w:rPr>
                <w:rFonts w:ascii="Times New Roman" w:hAnsi="Times New Roman"/>
                <w:color w:val="000000"/>
                <w:sz w:val="20"/>
                <w:szCs w:val="20"/>
              </w:rPr>
            </w:pPr>
          </w:p>
        </w:tc>
        <w:tc>
          <w:tcPr>
            <w:tcW w:w="992" w:type="dxa"/>
            <w:tcBorders>
              <w:top w:val="nil"/>
              <w:left w:val="nil"/>
              <w:bottom w:val="single" w:sz="4" w:space="0" w:color="auto"/>
              <w:right w:val="single" w:sz="4" w:space="0" w:color="auto"/>
            </w:tcBorders>
            <w:vAlign w:val="center"/>
          </w:tcPr>
          <w:p w14:paraId="1788BC46"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1DD6BE2A"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6A6EDA7"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Revenues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F7D7F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B=A* Volume</w:t>
            </w:r>
          </w:p>
        </w:tc>
        <w:tc>
          <w:tcPr>
            <w:tcW w:w="2071" w:type="dxa"/>
            <w:tcBorders>
              <w:top w:val="nil"/>
              <w:left w:val="nil"/>
              <w:bottom w:val="single" w:sz="4" w:space="0" w:color="auto"/>
              <w:right w:val="single" w:sz="4" w:space="0" w:color="auto"/>
            </w:tcBorders>
            <w:shd w:val="clear" w:color="auto" w:fill="auto"/>
            <w:noWrap/>
            <w:vAlign w:val="center"/>
            <w:hideMark/>
          </w:tcPr>
          <w:p w14:paraId="6B23FBD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101.83</w:t>
            </w:r>
          </w:p>
        </w:tc>
        <w:tc>
          <w:tcPr>
            <w:tcW w:w="1143" w:type="dxa"/>
            <w:tcBorders>
              <w:top w:val="nil"/>
              <w:left w:val="nil"/>
              <w:bottom w:val="single" w:sz="4" w:space="0" w:color="auto"/>
              <w:right w:val="single" w:sz="4" w:space="0" w:color="auto"/>
            </w:tcBorders>
            <w:shd w:val="clear" w:color="auto" w:fill="auto"/>
            <w:noWrap/>
            <w:vAlign w:val="center"/>
            <w:hideMark/>
          </w:tcPr>
          <w:p w14:paraId="5E811EE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122.19</w:t>
            </w:r>
          </w:p>
        </w:tc>
        <w:tc>
          <w:tcPr>
            <w:tcW w:w="992" w:type="dxa"/>
            <w:tcBorders>
              <w:top w:val="nil"/>
              <w:left w:val="nil"/>
              <w:bottom w:val="single" w:sz="4" w:space="0" w:color="auto"/>
              <w:right w:val="single" w:sz="4" w:space="0" w:color="auto"/>
            </w:tcBorders>
            <w:noWrap/>
            <w:vAlign w:val="center"/>
            <w:hideMark/>
          </w:tcPr>
          <w:p w14:paraId="1A8C506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142.56</w:t>
            </w:r>
          </w:p>
        </w:tc>
        <w:tc>
          <w:tcPr>
            <w:tcW w:w="992" w:type="dxa"/>
            <w:tcBorders>
              <w:top w:val="nil"/>
              <w:left w:val="nil"/>
              <w:bottom w:val="single" w:sz="4" w:space="0" w:color="auto"/>
              <w:right w:val="single" w:sz="4" w:space="0" w:color="auto"/>
            </w:tcBorders>
            <w:vAlign w:val="center"/>
          </w:tcPr>
          <w:p w14:paraId="13F44A6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162.92</w:t>
            </w:r>
          </w:p>
        </w:tc>
      </w:tr>
      <w:tr w:rsidR="00C90AAE" w:rsidRPr="006D2651" w14:paraId="003B1015"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24A10F2"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Outflow</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78FCE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2071" w:type="dxa"/>
            <w:tcBorders>
              <w:top w:val="nil"/>
              <w:left w:val="nil"/>
              <w:bottom w:val="single" w:sz="4" w:space="0" w:color="auto"/>
              <w:right w:val="single" w:sz="4" w:space="0" w:color="auto"/>
            </w:tcBorders>
            <w:shd w:val="clear" w:color="auto" w:fill="auto"/>
            <w:noWrap/>
            <w:vAlign w:val="center"/>
            <w:hideMark/>
          </w:tcPr>
          <w:p w14:paraId="028A7CAA" w14:textId="77777777" w:rsidR="00C90AAE" w:rsidRPr="006D2651" w:rsidRDefault="00C90AAE" w:rsidP="00A10F1B">
            <w:pPr>
              <w:spacing w:after="0"/>
              <w:jc w:val="center"/>
              <w:rPr>
                <w:rFonts w:ascii="Times New Roman" w:hAnsi="Times New Roman"/>
                <w:color w:val="000000"/>
                <w:sz w:val="20"/>
                <w:szCs w:val="20"/>
              </w:rPr>
            </w:pPr>
          </w:p>
        </w:tc>
        <w:tc>
          <w:tcPr>
            <w:tcW w:w="1143" w:type="dxa"/>
            <w:tcBorders>
              <w:top w:val="nil"/>
              <w:left w:val="nil"/>
              <w:bottom w:val="single" w:sz="4" w:space="0" w:color="auto"/>
              <w:right w:val="single" w:sz="4" w:space="0" w:color="auto"/>
            </w:tcBorders>
            <w:shd w:val="clear" w:color="auto" w:fill="auto"/>
            <w:noWrap/>
            <w:vAlign w:val="center"/>
            <w:hideMark/>
          </w:tcPr>
          <w:p w14:paraId="15DD4453" w14:textId="77777777" w:rsidR="00C90AAE" w:rsidRPr="006D2651" w:rsidRDefault="00C90AAE" w:rsidP="00A10F1B">
            <w:pPr>
              <w:spacing w:after="0"/>
              <w:jc w:val="center"/>
              <w:rPr>
                <w:rFonts w:ascii="Times New Roman" w:hAnsi="Times New Roman"/>
                <w:color w:val="000000"/>
                <w:sz w:val="20"/>
                <w:szCs w:val="20"/>
              </w:rPr>
            </w:pPr>
          </w:p>
        </w:tc>
        <w:tc>
          <w:tcPr>
            <w:tcW w:w="992" w:type="dxa"/>
            <w:tcBorders>
              <w:top w:val="nil"/>
              <w:left w:val="nil"/>
              <w:bottom w:val="single" w:sz="4" w:space="0" w:color="auto"/>
              <w:right w:val="single" w:sz="4" w:space="0" w:color="auto"/>
            </w:tcBorders>
            <w:noWrap/>
            <w:vAlign w:val="center"/>
            <w:hideMark/>
          </w:tcPr>
          <w:p w14:paraId="6492F154" w14:textId="77777777" w:rsidR="00C90AAE" w:rsidRPr="006D2651" w:rsidRDefault="00C90AAE" w:rsidP="00A10F1B">
            <w:pPr>
              <w:spacing w:after="0"/>
              <w:jc w:val="center"/>
              <w:rPr>
                <w:rFonts w:ascii="Times New Roman" w:hAnsi="Times New Roman"/>
                <w:color w:val="000000"/>
                <w:sz w:val="20"/>
                <w:szCs w:val="20"/>
              </w:rPr>
            </w:pPr>
          </w:p>
        </w:tc>
        <w:tc>
          <w:tcPr>
            <w:tcW w:w="992" w:type="dxa"/>
            <w:tcBorders>
              <w:top w:val="nil"/>
              <w:left w:val="nil"/>
              <w:bottom w:val="single" w:sz="4" w:space="0" w:color="auto"/>
              <w:right w:val="single" w:sz="4" w:space="0" w:color="auto"/>
            </w:tcBorders>
            <w:vAlign w:val="center"/>
          </w:tcPr>
          <w:p w14:paraId="744117CD"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06210872"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4E4ABCD"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Capex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039FBDD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C</w:t>
            </w:r>
          </w:p>
        </w:tc>
        <w:tc>
          <w:tcPr>
            <w:tcW w:w="2071" w:type="dxa"/>
            <w:tcBorders>
              <w:top w:val="nil"/>
              <w:left w:val="nil"/>
              <w:bottom w:val="single" w:sz="4" w:space="0" w:color="auto"/>
              <w:right w:val="single" w:sz="4" w:space="0" w:color="auto"/>
            </w:tcBorders>
            <w:shd w:val="clear" w:color="auto" w:fill="auto"/>
            <w:noWrap/>
            <w:vAlign w:val="center"/>
            <w:hideMark/>
          </w:tcPr>
          <w:p w14:paraId="2242348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143" w:type="dxa"/>
            <w:tcBorders>
              <w:top w:val="nil"/>
              <w:left w:val="nil"/>
              <w:bottom w:val="single" w:sz="4" w:space="0" w:color="auto"/>
              <w:right w:val="single" w:sz="4" w:space="0" w:color="auto"/>
            </w:tcBorders>
            <w:shd w:val="clear" w:color="auto" w:fill="auto"/>
            <w:noWrap/>
            <w:vAlign w:val="center"/>
            <w:hideMark/>
          </w:tcPr>
          <w:p w14:paraId="60E5CF9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noWrap/>
            <w:vAlign w:val="center"/>
            <w:hideMark/>
          </w:tcPr>
          <w:p w14:paraId="6B59EF0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vAlign w:val="center"/>
          </w:tcPr>
          <w:p w14:paraId="7433E69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r>
      <w:tr w:rsidR="00C90AAE" w:rsidRPr="006D2651" w14:paraId="6C146D4C"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C4DA0B5"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091B087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D</w:t>
            </w:r>
          </w:p>
        </w:tc>
        <w:tc>
          <w:tcPr>
            <w:tcW w:w="2071" w:type="dxa"/>
            <w:tcBorders>
              <w:top w:val="nil"/>
              <w:left w:val="nil"/>
              <w:bottom w:val="single" w:sz="4" w:space="0" w:color="auto"/>
              <w:right w:val="single" w:sz="4" w:space="0" w:color="auto"/>
            </w:tcBorders>
            <w:shd w:val="clear" w:color="auto" w:fill="auto"/>
            <w:noWrap/>
            <w:vAlign w:val="center"/>
            <w:hideMark/>
          </w:tcPr>
          <w:p w14:paraId="6D1F6B8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86.66</w:t>
            </w:r>
          </w:p>
        </w:tc>
        <w:tc>
          <w:tcPr>
            <w:tcW w:w="1143" w:type="dxa"/>
            <w:tcBorders>
              <w:top w:val="nil"/>
              <w:left w:val="nil"/>
              <w:bottom w:val="single" w:sz="4" w:space="0" w:color="auto"/>
              <w:right w:val="single" w:sz="4" w:space="0" w:color="auto"/>
            </w:tcBorders>
            <w:shd w:val="clear" w:color="auto" w:fill="auto"/>
            <w:noWrap/>
            <w:vAlign w:val="center"/>
            <w:hideMark/>
          </w:tcPr>
          <w:p w14:paraId="696C244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89.26</w:t>
            </w:r>
          </w:p>
        </w:tc>
        <w:tc>
          <w:tcPr>
            <w:tcW w:w="992" w:type="dxa"/>
            <w:tcBorders>
              <w:top w:val="nil"/>
              <w:left w:val="nil"/>
              <w:bottom w:val="single" w:sz="4" w:space="0" w:color="auto"/>
              <w:right w:val="single" w:sz="4" w:space="0" w:color="auto"/>
            </w:tcBorders>
            <w:noWrap/>
            <w:vAlign w:val="center"/>
            <w:hideMark/>
          </w:tcPr>
          <w:p w14:paraId="74B7BD2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91.94</w:t>
            </w:r>
          </w:p>
        </w:tc>
        <w:tc>
          <w:tcPr>
            <w:tcW w:w="992" w:type="dxa"/>
            <w:tcBorders>
              <w:top w:val="nil"/>
              <w:left w:val="nil"/>
              <w:bottom w:val="single" w:sz="4" w:space="0" w:color="auto"/>
              <w:right w:val="single" w:sz="4" w:space="0" w:color="auto"/>
            </w:tcBorders>
            <w:vAlign w:val="center"/>
          </w:tcPr>
          <w:p w14:paraId="47DFB44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94.70</w:t>
            </w:r>
          </w:p>
        </w:tc>
      </w:tr>
      <w:tr w:rsidR="00C90AAE" w:rsidRPr="006D2651" w14:paraId="38224C2C" w14:textId="77777777" w:rsidTr="00A10F1B">
        <w:trPr>
          <w:trHeight w:val="26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B1E475"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Net cash flow Pre-Tax for project IRR (₹/ crore)</w:t>
            </w:r>
          </w:p>
        </w:tc>
        <w:tc>
          <w:tcPr>
            <w:tcW w:w="1560" w:type="dxa"/>
            <w:tcBorders>
              <w:top w:val="nil"/>
              <w:left w:val="single" w:sz="4" w:space="0" w:color="auto"/>
              <w:bottom w:val="single" w:sz="4" w:space="0" w:color="auto"/>
              <w:right w:val="single" w:sz="4" w:space="0" w:color="auto"/>
            </w:tcBorders>
            <w:shd w:val="clear" w:color="auto" w:fill="auto"/>
            <w:vAlign w:val="center"/>
          </w:tcPr>
          <w:p w14:paraId="5196536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 C - D</w:t>
            </w:r>
          </w:p>
        </w:tc>
        <w:tc>
          <w:tcPr>
            <w:tcW w:w="2071" w:type="dxa"/>
            <w:tcBorders>
              <w:top w:val="nil"/>
              <w:left w:val="nil"/>
              <w:bottom w:val="single" w:sz="4" w:space="0" w:color="auto"/>
              <w:right w:val="single" w:sz="4" w:space="0" w:color="auto"/>
            </w:tcBorders>
            <w:shd w:val="clear" w:color="auto" w:fill="auto"/>
            <w:noWrap/>
            <w:vAlign w:val="center"/>
            <w:hideMark/>
          </w:tcPr>
          <w:p w14:paraId="0F0AED7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15.16</w:t>
            </w:r>
          </w:p>
        </w:tc>
        <w:tc>
          <w:tcPr>
            <w:tcW w:w="1143" w:type="dxa"/>
            <w:tcBorders>
              <w:top w:val="nil"/>
              <w:left w:val="nil"/>
              <w:bottom w:val="single" w:sz="4" w:space="0" w:color="auto"/>
              <w:right w:val="single" w:sz="4" w:space="0" w:color="auto"/>
            </w:tcBorders>
            <w:shd w:val="clear" w:color="auto" w:fill="auto"/>
            <w:noWrap/>
            <w:vAlign w:val="center"/>
            <w:hideMark/>
          </w:tcPr>
          <w:p w14:paraId="3144AD8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32.93</w:t>
            </w:r>
          </w:p>
        </w:tc>
        <w:tc>
          <w:tcPr>
            <w:tcW w:w="992" w:type="dxa"/>
            <w:tcBorders>
              <w:top w:val="nil"/>
              <w:left w:val="nil"/>
              <w:bottom w:val="single" w:sz="4" w:space="0" w:color="auto"/>
              <w:right w:val="single" w:sz="4" w:space="0" w:color="auto"/>
            </w:tcBorders>
            <w:noWrap/>
            <w:vAlign w:val="center"/>
            <w:hideMark/>
          </w:tcPr>
          <w:p w14:paraId="32C299F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50.62</w:t>
            </w:r>
          </w:p>
        </w:tc>
        <w:tc>
          <w:tcPr>
            <w:tcW w:w="992" w:type="dxa"/>
            <w:tcBorders>
              <w:top w:val="nil"/>
              <w:left w:val="nil"/>
              <w:bottom w:val="single" w:sz="4" w:space="0" w:color="auto"/>
              <w:right w:val="single" w:sz="4" w:space="0" w:color="auto"/>
            </w:tcBorders>
            <w:vAlign w:val="center"/>
          </w:tcPr>
          <w:p w14:paraId="6E9A7FB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68.22</w:t>
            </w:r>
          </w:p>
        </w:tc>
      </w:tr>
    </w:tbl>
    <w:p w14:paraId="16E060A3" w14:textId="39E3BDE4" w:rsidR="00C90AAE" w:rsidRDefault="00C90AAE" w:rsidP="00C90AAE">
      <w:pPr>
        <w:spacing w:before="160" w:after="0"/>
        <w:jc w:val="both"/>
        <w:rPr>
          <w:rFonts w:ascii="Times New Roman" w:hAnsi="Times New Roman"/>
          <w:sz w:val="20"/>
          <w:szCs w:val="20"/>
        </w:rPr>
      </w:pPr>
      <w:r w:rsidRPr="006D2651">
        <w:rPr>
          <w:rFonts w:ascii="Times New Roman" w:hAnsi="Times New Roman"/>
          <w:sz w:val="20"/>
          <w:szCs w:val="20"/>
        </w:rPr>
        <w:t>The tariff rates from FY 2025 onwards are calculated on cost plus basis. The cashflows (primarily revenue and in turn tariffs) are calculated such that project returns are capped at 12 per cent post tax over the entire economic life. The cashflows and corresponding levelized tariff which yield the post-tax returns @12 per cent are as per the table below:</w:t>
      </w:r>
    </w:p>
    <w:p w14:paraId="70F8A460" w14:textId="77777777" w:rsidR="00C34994" w:rsidRPr="00C34994" w:rsidRDefault="00C34994" w:rsidP="00C90AAE">
      <w:pPr>
        <w:spacing w:before="160" w:after="0"/>
        <w:jc w:val="both"/>
        <w:rPr>
          <w:rFonts w:ascii="Times New Roman" w:hAnsi="Times New Roman"/>
          <w:sz w:val="4"/>
          <w:szCs w:val="4"/>
        </w:rPr>
      </w:pP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91"/>
        <w:gridCol w:w="715"/>
        <w:gridCol w:w="715"/>
        <w:gridCol w:w="715"/>
        <w:gridCol w:w="713"/>
        <w:gridCol w:w="715"/>
        <w:gridCol w:w="715"/>
        <w:gridCol w:w="715"/>
        <w:gridCol w:w="713"/>
        <w:gridCol w:w="820"/>
      </w:tblGrid>
      <w:tr w:rsidR="00C90AAE" w:rsidRPr="006D2651" w14:paraId="30C8CB38" w14:textId="77777777" w:rsidTr="00A10F1B">
        <w:trPr>
          <w:trHeight w:val="325"/>
          <w:jc w:val="center"/>
        </w:trPr>
        <w:tc>
          <w:tcPr>
            <w:tcW w:w="1533" w:type="pct"/>
            <w:shd w:val="clear" w:color="auto" w:fill="auto"/>
            <w:noWrap/>
            <w:vAlign w:val="center"/>
            <w:hideMark/>
          </w:tcPr>
          <w:p w14:paraId="6DCFA087"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379" w:type="pct"/>
            <w:shd w:val="clear" w:color="auto" w:fill="auto"/>
            <w:noWrap/>
            <w:vAlign w:val="center"/>
            <w:hideMark/>
          </w:tcPr>
          <w:p w14:paraId="514E4F1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379" w:type="pct"/>
            <w:shd w:val="clear" w:color="auto" w:fill="auto"/>
            <w:noWrap/>
            <w:vAlign w:val="center"/>
            <w:hideMark/>
          </w:tcPr>
          <w:p w14:paraId="443DA69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379" w:type="pct"/>
            <w:shd w:val="clear" w:color="auto" w:fill="auto"/>
            <w:noWrap/>
            <w:vAlign w:val="center"/>
            <w:hideMark/>
          </w:tcPr>
          <w:p w14:paraId="0C2C91E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378" w:type="pct"/>
            <w:shd w:val="clear" w:color="auto" w:fill="auto"/>
            <w:noWrap/>
            <w:vAlign w:val="center"/>
            <w:hideMark/>
          </w:tcPr>
          <w:p w14:paraId="24E6E4E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379" w:type="pct"/>
            <w:shd w:val="clear" w:color="auto" w:fill="auto"/>
            <w:noWrap/>
            <w:vAlign w:val="center"/>
            <w:hideMark/>
          </w:tcPr>
          <w:p w14:paraId="48E72C8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c>
          <w:tcPr>
            <w:tcW w:w="379" w:type="pct"/>
            <w:shd w:val="clear" w:color="auto" w:fill="auto"/>
            <w:noWrap/>
            <w:vAlign w:val="center"/>
            <w:hideMark/>
          </w:tcPr>
          <w:p w14:paraId="67A532D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379" w:type="pct"/>
            <w:shd w:val="clear" w:color="auto" w:fill="auto"/>
            <w:noWrap/>
            <w:vAlign w:val="center"/>
            <w:hideMark/>
          </w:tcPr>
          <w:p w14:paraId="479CCB4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378" w:type="pct"/>
            <w:shd w:val="clear" w:color="auto" w:fill="auto"/>
            <w:vAlign w:val="center"/>
          </w:tcPr>
          <w:p w14:paraId="652F6D2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435" w:type="pct"/>
            <w:shd w:val="clear" w:color="auto" w:fill="auto"/>
            <w:vAlign w:val="center"/>
          </w:tcPr>
          <w:p w14:paraId="677C90B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r>
      <w:tr w:rsidR="00C90AAE" w:rsidRPr="006D2651" w14:paraId="38EB1C90" w14:textId="77777777" w:rsidTr="00A10F1B">
        <w:trPr>
          <w:trHeight w:val="325"/>
          <w:jc w:val="center"/>
        </w:trPr>
        <w:tc>
          <w:tcPr>
            <w:tcW w:w="1533" w:type="pct"/>
            <w:shd w:val="clear" w:color="auto" w:fill="auto"/>
            <w:noWrap/>
            <w:vAlign w:val="center"/>
            <w:hideMark/>
          </w:tcPr>
          <w:p w14:paraId="2228FE29"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379" w:type="pct"/>
            <w:shd w:val="clear" w:color="auto" w:fill="auto"/>
            <w:noWrap/>
            <w:vAlign w:val="bottom"/>
            <w:hideMark/>
          </w:tcPr>
          <w:p w14:paraId="19AB2411"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9" w:type="pct"/>
            <w:shd w:val="clear" w:color="auto" w:fill="auto"/>
            <w:noWrap/>
            <w:vAlign w:val="bottom"/>
            <w:hideMark/>
          </w:tcPr>
          <w:p w14:paraId="55936A5B"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9" w:type="pct"/>
            <w:shd w:val="clear" w:color="auto" w:fill="auto"/>
            <w:noWrap/>
            <w:vAlign w:val="bottom"/>
            <w:hideMark/>
          </w:tcPr>
          <w:p w14:paraId="1363F828"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8" w:type="pct"/>
            <w:shd w:val="clear" w:color="auto" w:fill="auto"/>
            <w:noWrap/>
            <w:vAlign w:val="bottom"/>
            <w:hideMark/>
          </w:tcPr>
          <w:p w14:paraId="7D33DADD"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9" w:type="pct"/>
            <w:shd w:val="clear" w:color="auto" w:fill="auto"/>
            <w:noWrap/>
            <w:vAlign w:val="bottom"/>
            <w:hideMark/>
          </w:tcPr>
          <w:p w14:paraId="4960434D"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9" w:type="pct"/>
            <w:shd w:val="clear" w:color="auto" w:fill="auto"/>
            <w:noWrap/>
            <w:vAlign w:val="bottom"/>
            <w:hideMark/>
          </w:tcPr>
          <w:p w14:paraId="0D02B3EC"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9" w:type="pct"/>
            <w:shd w:val="clear" w:color="auto" w:fill="auto"/>
            <w:noWrap/>
            <w:vAlign w:val="bottom"/>
            <w:hideMark/>
          </w:tcPr>
          <w:p w14:paraId="3BBD1B22"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378" w:type="pct"/>
            <w:shd w:val="clear" w:color="auto" w:fill="auto"/>
            <w:vAlign w:val="bottom"/>
          </w:tcPr>
          <w:p w14:paraId="60C6BC3E"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c>
          <w:tcPr>
            <w:tcW w:w="435" w:type="pct"/>
            <w:shd w:val="clear" w:color="auto" w:fill="auto"/>
            <w:vAlign w:val="bottom"/>
          </w:tcPr>
          <w:p w14:paraId="43308F02"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           5.47 </w:t>
            </w:r>
          </w:p>
        </w:tc>
      </w:tr>
      <w:tr w:rsidR="00C90AAE" w:rsidRPr="006D2651" w14:paraId="4F50E9AF" w14:textId="77777777" w:rsidTr="00A10F1B">
        <w:trPr>
          <w:trHeight w:val="325"/>
          <w:jc w:val="center"/>
        </w:trPr>
        <w:tc>
          <w:tcPr>
            <w:tcW w:w="1533" w:type="pct"/>
            <w:shd w:val="clear" w:color="auto" w:fill="auto"/>
            <w:noWrap/>
            <w:vAlign w:val="center"/>
            <w:hideMark/>
          </w:tcPr>
          <w:p w14:paraId="2EB39C2D"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379" w:type="pct"/>
            <w:shd w:val="clear" w:color="auto" w:fill="auto"/>
            <w:noWrap/>
            <w:vAlign w:val="bottom"/>
            <w:hideMark/>
          </w:tcPr>
          <w:p w14:paraId="3B7B3859"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9" w:type="pct"/>
            <w:shd w:val="clear" w:color="auto" w:fill="auto"/>
            <w:noWrap/>
            <w:vAlign w:val="bottom"/>
            <w:hideMark/>
          </w:tcPr>
          <w:p w14:paraId="012D8B8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9" w:type="pct"/>
            <w:shd w:val="clear" w:color="auto" w:fill="auto"/>
            <w:noWrap/>
            <w:vAlign w:val="bottom"/>
            <w:hideMark/>
          </w:tcPr>
          <w:p w14:paraId="4B4F2BD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8" w:type="pct"/>
            <w:shd w:val="clear" w:color="auto" w:fill="auto"/>
            <w:noWrap/>
            <w:vAlign w:val="bottom"/>
            <w:hideMark/>
          </w:tcPr>
          <w:p w14:paraId="3751908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9" w:type="pct"/>
            <w:shd w:val="clear" w:color="auto" w:fill="auto"/>
            <w:noWrap/>
            <w:vAlign w:val="bottom"/>
            <w:hideMark/>
          </w:tcPr>
          <w:p w14:paraId="4F21690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9" w:type="pct"/>
            <w:shd w:val="clear" w:color="auto" w:fill="auto"/>
            <w:noWrap/>
            <w:vAlign w:val="bottom"/>
            <w:hideMark/>
          </w:tcPr>
          <w:p w14:paraId="4FC7D67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9" w:type="pct"/>
            <w:shd w:val="clear" w:color="auto" w:fill="auto"/>
            <w:noWrap/>
            <w:vAlign w:val="bottom"/>
            <w:hideMark/>
          </w:tcPr>
          <w:p w14:paraId="407A61C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378" w:type="pct"/>
            <w:shd w:val="clear" w:color="auto" w:fill="auto"/>
            <w:vAlign w:val="bottom"/>
          </w:tcPr>
          <w:p w14:paraId="3206CA8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c>
          <w:tcPr>
            <w:tcW w:w="435" w:type="pct"/>
            <w:shd w:val="clear" w:color="auto" w:fill="auto"/>
            <w:vAlign w:val="bottom"/>
          </w:tcPr>
          <w:p w14:paraId="49940A03"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 </w:t>
            </w:r>
          </w:p>
        </w:tc>
      </w:tr>
      <w:tr w:rsidR="00C90AAE" w:rsidRPr="006D2651" w14:paraId="123D4F57" w14:textId="77777777" w:rsidTr="00A10F1B">
        <w:trPr>
          <w:trHeight w:val="325"/>
          <w:jc w:val="center"/>
        </w:trPr>
        <w:tc>
          <w:tcPr>
            <w:tcW w:w="1533" w:type="pct"/>
            <w:shd w:val="clear" w:color="auto" w:fill="auto"/>
            <w:noWrap/>
            <w:vAlign w:val="center"/>
            <w:hideMark/>
          </w:tcPr>
          <w:p w14:paraId="6E21BB2F"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379" w:type="pct"/>
            <w:shd w:val="clear" w:color="auto" w:fill="auto"/>
            <w:noWrap/>
            <w:vAlign w:val="center"/>
            <w:hideMark/>
          </w:tcPr>
          <w:p w14:paraId="1F16E76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758.14 </w:t>
            </w:r>
          </w:p>
        </w:tc>
        <w:tc>
          <w:tcPr>
            <w:tcW w:w="379" w:type="pct"/>
            <w:shd w:val="clear" w:color="auto" w:fill="auto"/>
            <w:noWrap/>
            <w:vAlign w:val="center"/>
            <w:hideMark/>
          </w:tcPr>
          <w:p w14:paraId="4CB7E82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9" w:type="pct"/>
            <w:shd w:val="clear" w:color="auto" w:fill="auto"/>
            <w:noWrap/>
            <w:vAlign w:val="center"/>
            <w:hideMark/>
          </w:tcPr>
          <w:p w14:paraId="46511D0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8" w:type="pct"/>
            <w:shd w:val="clear" w:color="auto" w:fill="auto"/>
            <w:noWrap/>
            <w:vAlign w:val="center"/>
            <w:hideMark/>
          </w:tcPr>
          <w:p w14:paraId="30D40DC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9" w:type="pct"/>
            <w:shd w:val="clear" w:color="auto" w:fill="auto"/>
            <w:noWrap/>
            <w:vAlign w:val="center"/>
            <w:hideMark/>
          </w:tcPr>
          <w:p w14:paraId="522182E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9" w:type="pct"/>
            <w:shd w:val="clear" w:color="auto" w:fill="auto"/>
            <w:noWrap/>
            <w:vAlign w:val="center"/>
            <w:hideMark/>
          </w:tcPr>
          <w:p w14:paraId="6AA6C7A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9" w:type="pct"/>
            <w:shd w:val="clear" w:color="auto" w:fill="auto"/>
            <w:noWrap/>
            <w:vAlign w:val="center"/>
            <w:hideMark/>
          </w:tcPr>
          <w:p w14:paraId="1B47452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378" w:type="pct"/>
            <w:shd w:val="clear" w:color="auto" w:fill="auto"/>
            <w:vAlign w:val="center"/>
          </w:tcPr>
          <w:p w14:paraId="183525C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435" w:type="pct"/>
            <w:shd w:val="clear" w:color="auto" w:fill="auto"/>
            <w:vAlign w:val="center"/>
          </w:tcPr>
          <w:p w14:paraId="49F68AF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r>
      <w:tr w:rsidR="00C90AAE" w:rsidRPr="006D2651" w14:paraId="1918E50D" w14:textId="77777777" w:rsidTr="00A10F1B">
        <w:trPr>
          <w:trHeight w:val="325"/>
          <w:jc w:val="center"/>
        </w:trPr>
        <w:tc>
          <w:tcPr>
            <w:tcW w:w="1533" w:type="pct"/>
            <w:shd w:val="clear" w:color="auto" w:fill="auto"/>
            <w:noWrap/>
            <w:vAlign w:val="center"/>
            <w:hideMark/>
          </w:tcPr>
          <w:p w14:paraId="551985E2"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379" w:type="pct"/>
            <w:shd w:val="clear" w:color="auto" w:fill="auto"/>
            <w:noWrap/>
            <w:vAlign w:val="center"/>
            <w:hideMark/>
          </w:tcPr>
          <w:p w14:paraId="4F3221AB" w14:textId="77777777" w:rsidR="00C90AAE" w:rsidRPr="006D2651" w:rsidRDefault="00C90AAE" w:rsidP="00A10F1B">
            <w:pPr>
              <w:spacing w:after="0"/>
              <w:jc w:val="center"/>
              <w:rPr>
                <w:rFonts w:ascii="Times New Roman" w:hAnsi="Times New Roman"/>
                <w:color w:val="000000"/>
                <w:sz w:val="20"/>
                <w:szCs w:val="20"/>
              </w:rPr>
            </w:pPr>
          </w:p>
        </w:tc>
        <w:tc>
          <w:tcPr>
            <w:tcW w:w="379" w:type="pct"/>
            <w:shd w:val="clear" w:color="auto" w:fill="auto"/>
            <w:noWrap/>
            <w:vAlign w:val="center"/>
            <w:hideMark/>
          </w:tcPr>
          <w:p w14:paraId="51426C8B" w14:textId="77777777" w:rsidR="00C90AAE" w:rsidRPr="006D2651" w:rsidRDefault="00C90AAE" w:rsidP="00A10F1B">
            <w:pPr>
              <w:spacing w:after="0"/>
              <w:jc w:val="center"/>
              <w:rPr>
                <w:rFonts w:ascii="Times New Roman" w:hAnsi="Times New Roman"/>
                <w:color w:val="000000"/>
                <w:sz w:val="20"/>
                <w:szCs w:val="20"/>
              </w:rPr>
            </w:pPr>
          </w:p>
        </w:tc>
        <w:tc>
          <w:tcPr>
            <w:tcW w:w="379" w:type="pct"/>
            <w:shd w:val="clear" w:color="auto" w:fill="auto"/>
            <w:noWrap/>
            <w:vAlign w:val="center"/>
            <w:hideMark/>
          </w:tcPr>
          <w:p w14:paraId="7C4AFF03" w14:textId="77777777" w:rsidR="00C90AAE" w:rsidRPr="006D2651" w:rsidRDefault="00C90AAE" w:rsidP="00A10F1B">
            <w:pPr>
              <w:spacing w:after="0"/>
              <w:jc w:val="center"/>
              <w:rPr>
                <w:rFonts w:ascii="Times New Roman" w:hAnsi="Times New Roman"/>
                <w:color w:val="000000"/>
                <w:sz w:val="20"/>
                <w:szCs w:val="20"/>
              </w:rPr>
            </w:pPr>
          </w:p>
        </w:tc>
        <w:tc>
          <w:tcPr>
            <w:tcW w:w="378" w:type="pct"/>
            <w:shd w:val="clear" w:color="auto" w:fill="auto"/>
            <w:noWrap/>
            <w:vAlign w:val="center"/>
            <w:hideMark/>
          </w:tcPr>
          <w:p w14:paraId="64261338" w14:textId="77777777" w:rsidR="00C90AAE" w:rsidRPr="006D2651" w:rsidRDefault="00C90AAE" w:rsidP="00A10F1B">
            <w:pPr>
              <w:spacing w:after="0"/>
              <w:jc w:val="center"/>
              <w:rPr>
                <w:rFonts w:ascii="Times New Roman" w:hAnsi="Times New Roman"/>
                <w:color w:val="000000"/>
                <w:sz w:val="20"/>
                <w:szCs w:val="20"/>
              </w:rPr>
            </w:pPr>
          </w:p>
        </w:tc>
        <w:tc>
          <w:tcPr>
            <w:tcW w:w="379" w:type="pct"/>
            <w:shd w:val="clear" w:color="auto" w:fill="auto"/>
            <w:noWrap/>
            <w:vAlign w:val="center"/>
            <w:hideMark/>
          </w:tcPr>
          <w:p w14:paraId="23BC325F" w14:textId="77777777" w:rsidR="00C90AAE" w:rsidRPr="006D2651" w:rsidRDefault="00C90AAE" w:rsidP="00A10F1B">
            <w:pPr>
              <w:spacing w:after="0"/>
              <w:jc w:val="center"/>
              <w:rPr>
                <w:rFonts w:ascii="Times New Roman" w:hAnsi="Times New Roman"/>
                <w:color w:val="000000"/>
                <w:sz w:val="20"/>
                <w:szCs w:val="20"/>
              </w:rPr>
            </w:pPr>
          </w:p>
        </w:tc>
        <w:tc>
          <w:tcPr>
            <w:tcW w:w="379" w:type="pct"/>
            <w:shd w:val="clear" w:color="auto" w:fill="auto"/>
            <w:noWrap/>
            <w:vAlign w:val="center"/>
            <w:hideMark/>
          </w:tcPr>
          <w:p w14:paraId="05E536FD" w14:textId="77777777" w:rsidR="00C90AAE" w:rsidRPr="006D2651" w:rsidRDefault="00C90AAE" w:rsidP="00A10F1B">
            <w:pPr>
              <w:spacing w:after="0"/>
              <w:jc w:val="center"/>
              <w:rPr>
                <w:rFonts w:ascii="Times New Roman" w:hAnsi="Times New Roman"/>
                <w:color w:val="000000"/>
                <w:sz w:val="20"/>
                <w:szCs w:val="20"/>
              </w:rPr>
            </w:pPr>
          </w:p>
        </w:tc>
        <w:tc>
          <w:tcPr>
            <w:tcW w:w="379" w:type="pct"/>
            <w:shd w:val="clear" w:color="auto" w:fill="auto"/>
            <w:noWrap/>
            <w:vAlign w:val="center"/>
            <w:hideMark/>
          </w:tcPr>
          <w:p w14:paraId="457B3E88" w14:textId="77777777" w:rsidR="00C90AAE" w:rsidRPr="006D2651" w:rsidRDefault="00C90AAE" w:rsidP="00A10F1B">
            <w:pPr>
              <w:spacing w:after="0"/>
              <w:jc w:val="center"/>
              <w:rPr>
                <w:rFonts w:ascii="Times New Roman" w:hAnsi="Times New Roman"/>
                <w:color w:val="000000"/>
                <w:sz w:val="20"/>
                <w:szCs w:val="20"/>
              </w:rPr>
            </w:pPr>
          </w:p>
        </w:tc>
        <w:tc>
          <w:tcPr>
            <w:tcW w:w="378" w:type="pct"/>
            <w:shd w:val="clear" w:color="auto" w:fill="auto"/>
            <w:vAlign w:val="center"/>
          </w:tcPr>
          <w:p w14:paraId="241AD135" w14:textId="77777777" w:rsidR="00C90AAE" w:rsidRPr="006D2651" w:rsidRDefault="00C90AAE" w:rsidP="00A10F1B">
            <w:pPr>
              <w:spacing w:after="0"/>
              <w:jc w:val="center"/>
              <w:rPr>
                <w:rFonts w:ascii="Times New Roman" w:hAnsi="Times New Roman"/>
                <w:color w:val="000000"/>
                <w:sz w:val="20"/>
                <w:szCs w:val="20"/>
              </w:rPr>
            </w:pPr>
          </w:p>
        </w:tc>
        <w:tc>
          <w:tcPr>
            <w:tcW w:w="435" w:type="pct"/>
            <w:shd w:val="clear" w:color="auto" w:fill="auto"/>
            <w:vAlign w:val="center"/>
          </w:tcPr>
          <w:p w14:paraId="33D8A403"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60329B1B" w14:textId="77777777" w:rsidTr="00A10F1B">
        <w:trPr>
          <w:trHeight w:val="325"/>
          <w:jc w:val="center"/>
        </w:trPr>
        <w:tc>
          <w:tcPr>
            <w:tcW w:w="1533" w:type="pct"/>
            <w:shd w:val="clear" w:color="auto" w:fill="auto"/>
            <w:noWrap/>
            <w:vAlign w:val="center"/>
            <w:hideMark/>
          </w:tcPr>
          <w:p w14:paraId="6B17F504"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379" w:type="pct"/>
            <w:shd w:val="clear" w:color="auto" w:fill="auto"/>
            <w:noWrap/>
            <w:vAlign w:val="center"/>
            <w:hideMark/>
          </w:tcPr>
          <w:p w14:paraId="111F9DB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9" w:type="pct"/>
            <w:shd w:val="clear" w:color="auto" w:fill="auto"/>
            <w:noWrap/>
            <w:vAlign w:val="center"/>
            <w:hideMark/>
          </w:tcPr>
          <w:p w14:paraId="04F2CB6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9" w:type="pct"/>
            <w:shd w:val="clear" w:color="auto" w:fill="auto"/>
            <w:noWrap/>
            <w:vAlign w:val="center"/>
            <w:hideMark/>
          </w:tcPr>
          <w:p w14:paraId="7171F84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8" w:type="pct"/>
            <w:shd w:val="clear" w:color="auto" w:fill="auto"/>
            <w:noWrap/>
            <w:vAlign w:val="center"/>
            <w:hideMark/>
          </w:tcPr>
          <w:p w14:paraId="3C4F593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9" w:type="pct"/>
            <w:shd w:val="clear" w:color="auto" w:fill="auto"/>
            <w:noWrap/>
            <w:vAlign w:val="center"/>
            <w:hideMark/>
          </w:tcPr>
          <w:p w14:paraId="4B1DA80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9" w:type="pct"/>
            <w:shd w:val="clear" w:color="auto" w:fill="auto"/>
            <w:noWrap/>
            <w:vAlign w:val="center"/>
            <w:hideMark/>
          </w:tcPr>
          <w:p w14:paraId="4BC5199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9" w:type="pct"/>
            <w:shd w:val="clear" w:color="auto" w:fill="auto"/>
            <w:noWrap/>
            <w:vAlign w:val="center"/>
            <w:hideMark/>
          </w:tcPr>
          <w:p w14:paraId="6372D2E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378" w:type="pct"/>
            <w:shd w:val="clear" w:color="auto" w:fill="auto"/>
            <w:vAlign w:val="center"/>
          </w:tcPr>
          <w:p w14:paraId="4710B73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435" w:type="pct"/>
            <w:shd w:val="clear" w:color="auto" w:fill="auto"/>
            <w:vAlign w:val="center"/>
          </w:tcPr>
          <w:p w14:paraId="67526D2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r>
      <w:tr w:rsidR="00C90AAE" w:rsidRPr="006D2651" w14:paraId="054C2DCD" w14:textId="77777777" w:rsidTr="00A10F1B">
        <w:trPr>
          <w:trHeight w:val="325"/>
          <w:jc w:val="center"/>
        </w:trPr>
        <w:tc>
          <w:tcPr>
            <w:tcW w:w="1533" w:type="pct"/>
            <w:shd w:val="clear" w:color="auto" w:fill="auto"/>
            <w:noWrap/>
            <w:vAlign w:val="center"/>
            <w:hideMark/>
          </w:tcPr>
          <w:p w14:paraId="10753327"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379" w:type="pct"/>
            <w:shd w:val="clear" w:color="auto" w:fill="auto"/>
            <w:noWrap/>
            <w:vAlign w:val="center"/>
          </w:tcPr>
          <w:p w14:paraId="7B38188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97.54 </w:t>
            </w:r>
          </w:p>
        </w:tc>
        <w:tc>
          <w:tcPr>
            <w:tcW w:w="379" w:type="pct"/>
            <w:shd w:val="clear" w:color="auto" w:fill="auto"/>
            <w:noWrap/>
            <w:vAlign w:val="center"/>
          </w:tcPr>
          <w:p w14:paraId="32132B6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100.47 </w:t>
            </w:r>
          </w:p>
        </w:tc>
        <w:tc>
          <w:tcPr>
            <w:tcW w:w="379" w:type="pct"/>
            <w:shd w:val="clear" w:color="auto" w:fill="auto"/>
            <w:noWrap/>
            <w:vAlign w:val="center"/>
          </w:tcPr>
          <w:p w14:paraId="2474AED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103.48 </w:t>
            </w:r>
          </w:p>
        </w:tc>
        <w:tc>
          <w:tcPr>
            <w:tcW w:w="378" w:type="pct"/>
            <w:shd w:val="clear" w:color="auto" w:fill="auto"/>
            <w:noWrap/>
            <w:vAlign w:val="center"/>
          </w:tcPr>
          <w:p w14:paraId="2B6520B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106.59 </w:t>
            </w:r>
          </w:p>
        </w:tc>
        <w:tc>
          <w:tcPr>
            <w:tcW w:w="379" w:type="pct"/>
            <w:shd w:val="clear" w:color="auto" w:fill="auto"/>
            <w:noWrap/>
            <w:vAlign w:val="center"/>
          </w:tcPr>
          <w:p w14:paraId="61A4CA7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109.78 </w:t>
            </w:r>
          </w:p>
        </w:tc>
        <w:tc>
          <w:tcPr>
            <w:tcW w:w="379" w:type="pct"/>
            <w:shd w:val="clear" w:color="auto" w:fill="auto"/>
            <w:noWrap/>
            <w:vAlign w:val="center"/>
          </w:tcPr>
          <w:p w14:paraId="09F7599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113.08 </w:t>
            </w:r>
          </w:p>
        </w:tc>
        <w:tc>
          <w:tcPr>
            <w:tcW w:w="379" w:type="pct"/>
            <w:shd w:val="clear" w:color="auto" w:fill="auto"/>
            <w:noWrap/>
            <w:vAlign w:val="center"/>
          </w:tcPr>
          <w:p w14:paraId="71340DE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116.47 </w:t>
            </w:r>
          </w:p>
        </w:tc>
        <w:tc>
          <w:tcPr>
            <w:tcW w:w="378" w:type="pct"/>
            <w:shd w:val="clear" w:color="auto" w:fill="auto"/>
            <w:vAlign w:val="center"/>
          </w:tcPr>
          <w:p w14:paraId="75073FC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119.96 </w:t>
            </w:r>
          </w:p>
        </w:tc>
        <w:tc>
          <w:tcPr>
            <w:tcW w:w="435" w:type="pct"/>
            <w:shd w:val="clear" w:color="auto" w:fill="auto"/>
            <w:vAlign w:val="center"/>
          </w:tcPr>
          <w:p w14:paraId="3226606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123.56 </w:t>
            </w:r>
          </w:p>
        </w:tc>
      </w:tr>
      <w:tr w:rsidR="00C90AAE" w:rsidRPr="006D2651" w14:paraId="3E648B23" w14:textId="77777777" w:rsidTr="00A10F1B">
        <w:trPr>
          <w:trHeight w:val="325"/>
          <w:jc w:val="center"/>
        </w:trPr>
        <w:tc>
          <w:tcPr>
            <w:tcW w:w="1533" w:type="pct"/>
            <w:shd w:val="clear" w:color="auto" w:fill="auto"/>
            <w:noWrap/>
            <w:vAlign w:val="center"/>
            <w:hideMark/>
          </w:tcPr>
          <w:p w14:paraId="5685CCAA"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379" w:type="pct"/>
            <w:shd w:val="clear" w:color="auto" w:fill="auto"/>
            <w:noWrap/>
            <w:vAlign w:val="center"/>
            <w:hideMark/>
          </w:tcPr>
          <w:p w14:paraId="660982A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660.60 </w:t>
            </w:r>
          </w:p>
        </w:tc>
        <w:tc>
          <w:tcPr>
            <w:tcW w:w="379" w:type="pct"/>
            <w:shd w:val="clear" w:color="auto" w:fill="auto"/>
            <w:noWrap/>
            <w:vAlign w:val="center"/>
            <w:hideMark/>
          </w:tcPr>
          <w:p w14:paraId="15E5316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741.91 </w:t>
            </w:r>
          </w:p>
        </w:tc>
        <w:tc>
          <w:tcPr>
            <w:tcW w:w="379" w:type="pct"/>
            <w:shd w:val="clear" w:color="auto" w:fill="auto"/>
            <w:noWrap/>
            <w:vAlign w:val="center"/>
            <w:hideMark/>
          </w:tcPr>
          <w:p w14:paraId="14A5313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738.90 </w:t>
            </w:r>
          </w:p>
        </w:tc>
        <w:tc>
          <w:tcPr>
            <w:tcW w:w="378" w:type="pct"/>
            <w:shd w:val="clear" w:color="auto" w:fill="auto"/>
            <w:noWrap/>
            <w:vAlign w:val="center"/>
            <w:hideMark/>
          </w:tcPr>
          <w:p w14:paraId="205E851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735.79 </w:t>
            </w:r>
          </w:p>
        </w:tc>
        <w:tc>
          <w:tcPr>
            <w:tcW w:w="379" w:type="pct"/>
            <w:shd w:val="clear" w:color="auto" w:fill="auto"/>
            <w:noWrap/>
            <w:vAlign w:val="center"/>
            <w:hideMark/>
          </w:tcPr>
          <w:p w14:paraId="6524A95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732.60 </w:t>
            </w:r>
          </w:p>
        </w:tc>
        <w:tc>
          <w:tcPr>
            <w:tcW w:w="379" w:type="pct"/>
            <w:shd w:val="clear" w:color="auto" w:fill="auto"/>
            <w:noWrap/>
            <w:vAlign w:val="center"/>
            <w:hideMark/>
          </w:tcPr>
          <w:p w14:paraId="4A8103E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729.30 </w:t>
            </w:r>
          </w:p>
        </w:tc>
        <w:tc>
          <w:tcPr>
            <w:tcW w:w="379" w:type="pct"/>
            <w:shd w:val="clear" w:color="auto" w:fill="auto"/>
            <w:noWrap/>
            <w:vAlign w:val="center"/>
            <w:hideMark/>
          </w:tcPr>
          <w:p w14:paraId="527EE56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725.91 </w:t>
            </w:r>
          </w:p>
        </w:tc>
        <w:tc>
          <w:tcPr>
            <w:tcW w:w="378" w:type="pct"/>
            <w:shd w:val="clear" w:color="auto" w:fill="auto"/>
            <w:vAlign w:val="center"/>
          </w:tcPr>
          <w:p w14:paraId="69341E6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722.42 </w:t>
            </w:r>
          </w:p>
        </w:tc>
        <w:tc>
          <w:tcPr>
            <w:tcW w:w="435" w:type="pct"/>
            <w:shd w:val="clear" w:color="auto" w:fill="auto"/>
            <w:vAlign w:val="center"/>
          </w:tcPr>
          <w:p w14:paraId="0F800C4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718.82 </w:t>
            </w:r>
          </w:p>
        </w:tc>
      </w:tr>
    </w:tbl>
    <w:p w14:paraId="323A9B27" w14:textId="77777777" w:rsidR="00C90AAE" w:rsidRPr="006D2651" w:rsidRDefault="00C90AAE" w:rsidP="00C90AAE">
      <w:pPr>
        <w:spacing w:after="0"/>
        <w:jc w:val="both"/>
        <w:rPr>
          <w:rFonts w:ascii="Times New Roman" w:hAnsi="Times New Roman"/>
          <w:sz w:val="20"/>
          <w:szCs w:val="20"/>
          <w:u w:val="single"/>
        </w:rPr>
      </w:pP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554"/>
        <w:gridCol w:w="720"/>
        <w:gridCol w:w="720"/>
        <w:gridCol w:w="900"/>
        <w:gridCol w:w="990"/>
        <w:gridCol w:w="900"/>
        <w:gridCol w:w="900"/>
        <w:gridCol w:w="900"/>
        <w:gridCol w:w="917"/>
      </w:tblGrid>
      <w:tr w:rsidR="00C90AAE" w:rsidRPr="006D2651" w14:paraId="79B99D1C" w14:textId="77777777" w:rsidTr="00A10F1B">
        <w:trPr>
          <w:trHeight w:val="325"/>
        </w:trPr>
        <w:tc>
          <w:tcPr>
            <w:tcW w:w="2554" w:type="dxa"/>
            <w:shd w:val="clear" w:color="auto" w:fill="auto"/>
            <w:noWrap/>
            <w:vAlign w:val="center"/>
            <w:hideMark/>
          </w:tcPr>
          <w:p w14:paraId="0D5EEE0E"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720" w:type="dxa"/>
            <w:shd w:val="clear" w:color="auto" w:fill="auto"/>
            <w:vAlign w:val="center"/>
          </w:tcPr>
          <w:p w14:paraId="0DDF3C1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720" w:type="dxa"/>
            <w:shd w:val="clear" w:color="auto" w:fill="auto"/>
            <w:vAlign w:val="center"/>
          </w:tcPr>
          <w:p w14:paraId="48122B1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900" w:type="dxa"/>
            <w:shd w:val="clear" w:color="auto" w:fill="auto"/>
            <w:vAlign w:val="center"/>
          </w:tcPr>
          <w:p w14:paraId="7C0C8D5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990" w:type="dxa"/>
            <w:shd w:val="clear" w:color="auto" w:fill="auto"/>
            <w:vAlign w:val="center"/>
          </w:tcPr>
          <w:p w14:paraId="089716F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900" w:type="dxa"/>
            <w:shd w:val="clear" w:color="auto" w:fill="auto"/>
            <w:vAlign w:val="center"/>
          </w:tcPr>
          <w:p w14:paraId="27593CA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900" w:type="dxa"/>
            <w:shd w:val="clear" w:color="auto" w:fill="auto"/>
            <w:vAlign w:val="center"/>
          </w:tcPr>
          <w:p w14:paraId="25799A1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900" w:type="dxa"/>
            <w:shd w:val="clear" w:color="auto" w:fill="auto"/>
            <w:vAlign w:val="center"/>
          </w:tcPr>
          <w:p w14:paraId="4519CEC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917" w:type="dxa"/>
            <w:shd w:val="clear" w:color="auto" w:fill="auto"/>
            <w:vAlign w:val="center"/>
          </w:tcPr>
          <w:p w14:paraId="0A1F9C3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50620360" w14:textId="77777777" w:rsidTr="00A10F1B">
        <w:trPr>
          <w:trHeight w:val="359"/>
        </w:trPr>
        <w:tc>
          <w:tcPr>
            <w:tcW w:w="2554" w:type="dxa"/>
            <w:shd w:val="clear" w:color="auto" w:fill="auto"/>
            <w:noWrap/>
            <w:vAlign w:val="center"/>
            <w:hideMark/>
          </w:tcPr>
          <w:p w14:paraId="60CD29EA"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720" w:type="dxa"/>
            <w:shd w:val="clear" w:color="auto" w:fill="auto"/>
            <w:vAlign w:val="center"/>
          </w:tcPr>
          <w:p w14:paraId="39CDE1D5"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720" w:type="dxa"/>
            <w:shd w:val="clear" w:color="auto" w:fill="auto"/>
            <w:vAlign w:val="center"/>
          </w:tcPr>
          <w:p w14:paraId="2A5D6A78"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00" w:type="dxa"/>
            <w:shd w:val="clear" w:color="auto" w:fill="auto"/>
            <w:vAlign w:val="center"/>
          </w:tcPr>
          <w:p w14:paraId="5CCA3903"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90" w:type="dxa"/>
            <w:shd w:val="clear" w:color="auto" w:fill="auto"/>
            <w:vAlign w:val="center"/>
          </w:tcPr>
          <w:p w14:paraId="54FA0380"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00" w:type="dxa"/>
            <w:shd w:val="clear" w:color="auto" w:fill="auto"/>
            <w:vAlign w:val="center"/>
          </w:tcPr>
          <w:p w14:paraId="1665366B"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00" w:type="dxa"/>
            <w:shd w:val="clear" w:color="auto" w:fill="auto"/>
            <w:vAlign w:val="center"/>
          </w:tcPr>
          <w:p w14:paraId="43E57672"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00" w:type="dxa"/>
            <w:shd w:val="clear" w:color="auto" w:fill="auto"/>
            <w:vAlign w:val="center"/>
          </w:tcPr>
          <w:p w14:paraId="54FDC981"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c>
          <w:tcPr>
            <w:tcW w:w="917" w:type="dxa"/>
            <w:shd w:val="clear" w:color="auto" w:fill="auto"/>
            <w:vAlign w:val="center"/>
          </w:tcPr>
          <w:p w14:paraId="27284EC1"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5.47 </w:t>
            </w:r>
          </w:p>
        </w:tc>
      </w:tr>
      <w:tr w:rsidR="00C90AAE" w:rsidRPr="006D2651" w14:paraId="407F53E7" w14:textId="77777777" w:rsidTr="00A10F1B">
        <w:trPr>
          <w:trHeight w:val="325"/>
        </w:trPr>
        <w:tc>
          <w:tcPr>
            <w:tcW w:w="2554" w:type="dxa"/>
            <w:shd w:val="clear" w:color="auto" w:fill="auto"/>
            <w:noWrap/>
            <w:vAlign w:val="center"/>
            <w:hideMark/>
          </w:tcPr>
          <w:p w14:paraId="5B285BBB"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720" w:type="dxa"/>
            <w:shd w:val="clear" w:color="auto" w:fill="auto"/>
            <w:vAlign w:val="center"/>
          </w:tcPr>
          <w:p w14:paraId="3653F751" w14:textId="77777777" w:rsidR="00C90AAE" w:rsidRPr="006D2651" w:rsidRDefault="00C90AAE" w:rsidP="00A10F1B">
            <w:pPr>
              <w:spacing w:after="0"/>
              <w:jc w:val="center"/>
              <w:rPr>
                <w:rFonts w:ascii="Times New Roman" w:eastAsia="Times New Roman" w:hAnsi="Times New Roman"/>
                <w:sz w:val="20"/>
                <w:szCs w:val="20"/>
              </w:rPr>
            </w:pPr>
          </w:p>
        </w:tc>
        <w:tc>
          <w:tcPr>
            <w:tcW w:w="720" w:type="dxa"/>
            <w:shd w:val="clear" w:color="auto" w:fill="auto"/>
            <w:vAlign w:val="center"/>
          </w:tcPr>
          <w:p w14:paraId="4E43A4DC" w14:textId="77777777" w:rsidR="00C90AAE" w:rsidRPr="006D2651" w:rsidRDefault="00C90AAE" w:rsidP="00A10F1B">
            <w:pPr>
              <w:spacing w:after="0"/>
              <w:jc w:val="center"/>
              <w:rPr>
                <w:rFonts w:ascii="Times New Roman" w:eastAsia="Times New Roman" w:hAnsi="Times New Roman"/>
                <w:sz w:val="20"/>
                <w:szCs w:val="20"/>
              </w:rPr>
            </w:pPr>
          </w:p>
        </w:tc>
        <w:tc>
          <w:tcPr>
            <w:tcW w:w="900" w:type="dxa"/>
            <w:shd w:val="clear" w:color="auto" w:fill="auto"/>
            <w:vAlign w:val="center"/>
          </w:tcPr>
          <w:p w14:paraId="14185BE0" w14:textId="77777777" w:rsidR="00C90AAE" w:rsidRPr="006D2651" w:rsidRDefault="00C90AAE" w:rsidP="00A10F1B">
            <w:pPr>
              <w:spacing w:after="0"/>
              <w:jc w:val="center"/>
              <w:rPr>
                <w:rFonts w:ascii="Times New Roman" w:eastAsia="Times New Roman" w:hAnsi="Times New Roman"/>
                <w:sz w:val="20"/>
                <w:szCs w:val="20"/>
              </w:rPr>
            </w:pPr>
          </w:p>
        </w:tc>
        <w:tc>
          <w:tcPr>
            <w:tcW w:w="990" w:type="dxa"/>
            <w:shd w:val="clear" w:color="auto" w:fill="auto"/>
            <w:vAlign w:val="center"/>
          </w:tcPr>
          <w:p w14:paraId="05894C96" w14:textId="77777777" w:rsidR="00C90AAE" w:rsidRPr="006D2651" w:rsidRDefault="00C90AAE" w:rsidP="00A10F1B">
            <w:pPr>
              <w:spacing w:after="0"/>
              <w:jc w:val="center"/>
              <w:rPr>
                <w:rFonts w:ascii="Times New Roman" w:eastAsia="Times New Roman" w:hAnsi="Times New Roman"/>
                <w:sz w:val="20"/>
                <w:szCs w:val="20"/>
              </w:rPr>
            </w:pPr>
          </w:p>
        </w:tc>
        <w:tc>
          <w:tcPr>
            <w:tcW w:w="900" w:type="dxa"/>
            <w:shd w:val="clear" w:color="auto" w:fill="auto"/>
            <w:vAlign w:val="center"/>
          </w:tcPr>
          <w:p w14:paraId="7F4BD069" w14:textId="77777777" w:rsidR="00C90AAE" w:rsidRPr="006D2651" w:rsidRDefault="00C90AAE" w:rsidP="00A10F1B">
            <w:pPr>
              <w:spacing w:after="0"/>
              <w:jc w:val="center"/>
              <w:rPr>
                <w:rFonts w:ascii="Times New Roman" w:eastAsia="Times New Roman" w:hAnsi="Times New Roman"/>
                <w:sz w:val="20"/>
                <w:szCs w:val="20"/>
              </w:rPr>
            </w:pPr>
          </w:p>
        </w:tc>
        <w:tc>
          <w:tcPr>
            <w:tcW w:w="900" w:type="dxa"/>
            <w:shd w:val="clear" w:color="auto" w:fill="auto"/>
            <w:vAlign w:val="center"/>
          </w:tcPr>
          <w:p w14:paraId="1A8735A5" w14:textId="77777777" w:rsidR="00C90AAE" w:rsidRPr="006D2651" w:rsidRDefault="00C90AAE" w:rsidP="00A10F1B">
            <w:pPr>
              <w:spacing w:after="0"/>
              <w:jc w:val="center"/>
              <w:rPr>
                <w:rFonts w:ascii="Times New Roman" w:eastAsia="Times New Roman" w:hAnsi="Times New Roman"/>
                <w:sz w:val="20"/>
                <w:szCs w:val="20"/>
              </w:rPr>
            </w:pPr>
          </w:p>
        </w:tc>
        <w:tc>
          <w:tcPr>
            <w:tcW w:w="900" w:type="dxa"/>
            <w:shd w:val="clear" w:color="auto" w:fill="auto"/>
            <w:vAlign w:val="center"/>
          </w:tcPr>
          <w:p w14:paraId="5021CB30" w14:textId="77777777" w:rsidR="00C90AAE" w:rsidRPr="006D2651" w:rsidRDefault="00C90AAE" w:rsidP="00A10F1B">
            <w:pPr>
              <w:spacing w:after="0"/>
              <w:jc w:val="center"/>
              <w:rPr>
                <w:rFonts w:ascii="Times New Roman" w:eastAsia="Times New Roman" w:hAnsi="Times New Roman"/>
                <w:sz w:val="20"/>
                <w:szCs w:val="20"/>
              </w:rPr>
            </w:pPr>
          </w:p>
        </w:tc>
        <w:tc>
          <w:tcPr>
            <w:tcW w:w="917" w:type="dxa"/>
            <w:shd w:val="clear" w:color="auto" w:fill="auto"/>
            <w:vAlign w:val="center"/>
          </w:tcPr>
          <w:p w14:paraId="3B7CDEE2" w14:textId="77777777" w:rsidR="00C90AAE" w:rsidRPr="006D2651" w:rsidRDefault="00C90AAE" w:rsidP="00A10F1B">
            <w:pPr>
              <w:spacing w:after="0"/>
              <w:jc w:val="center"/>
              <w:rPr>
                <w:rFonts w:ascii="Times New Roman" w:eastAsia="Times New Roman" w:hAnsi="Times New Roman"/>
                <w:sz w:val="20"/>
                <w:szCs w:val="20"/>
              </w:rPr>
            </w:pPr>
          </w:p>
        </w:tc>
      </w:tr>
      <w:tr w:rsidR="00C90AAE" w:rsidRPr="006D2651" w14:paraId="0B53ABCA" w14:textId="77777777" w:rsidTr="00A10F1B">
        <w:trPr>
          <w:trHeight w:val="325"/>
        </w:trPr>
        <w:tc>
          <w:tcPr>
            <w:tcW w:w="2554" w:type="dxa"/>
            <w:shd w:val="clear" w:color="auto" w:fill="auto"/>
            <w:noWrap/>
            <w:vAlign w:val="center"/>
            <w:hideMark/>
          </w:tcPr>
          <w:p w14:paraId="6FC2898D"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720" w:type="dxa"/>
            <w:shd w:val="clear" w:color="auto" w:fill="auto"/>
            <w:vAlign w:val="center"/>
          </w:tcPr>
          <w:p w14:paraId="1523CEC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720" w:type="dxa"/>
            <w:shd w:val="clear" w:color="auto" w:fill="auto"/>
            <w:vAlign w:val="center"/>
          </w:tcPr>
          <w:p w14:paraId="19BF5E3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00" w:type="dxa"/>
            <w:shd w:val="clear" w:color="auto" w:fill="auto"/>
            <w:vAlign w:val="center"/>
          </w:tcPr>
          <w:p w14:paraId="5D8E1BE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90" w:type="dxa"/>
            <w:shd w:val="clear" w:color="auto" w:fill="auto"/>
            <w:vAlign w:val="center"/>
          </w:tcPr>
          <w:p w14:paraId="2FD04D8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00" w:type="dxa"/>
            <w:shd w:val="clear" w:color="auto" w:fill="auto"/>
            <w:vAlign w:val="center"/>
          </w:tcPr>
          <w:p w14:paraId="653BC04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00" w:type="dxa"/>
            <w:shd w:val="clear" w:color="auto" w:fill="auto"/>
            <w:vAlign w:val="center"/>
          </w:tcPr>
          <w:p w14:paraId="404C94D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00" w:type="dxa"/>
            <w:shd w:val="clear" w:color="auto" w:fill="auto"/>
            <w:vAlign w:val="center"/>
          </w:tcPr>
          <w:p w14:paraId="54F72AF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c>
          <w:tcPr>
            <w:tcW w:w="917" w:type="dxa"/>
            <w:shd w:val="clear" w:color="auto" w:fill="auto"/>
            <w:vAlign w:val="center"/>
          </w:tcPr>
          <w:p w14:paraId="293903C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842.38 </w:t>
            </w:r>
          </w:p>
        </w:tc>
      </w:tr>
      <w:tr w:rsidR="00C90AAE" w:rsidRPr="006D2651" w14:paraId="30C925DA" w14:textId="77777777" w:rsidTr="00A10F1B">
        <w:trPr>
          <w:trHeight w:val="325"/>
        </w:trPr>
        <w:tc>
          <w:tcPr>
            <w:tcW w:w="2554" w:type="dxa"/>
            <w:shd w:val="clear" w:color="auto" w:fill="auto"/>
            <w:noWrap/>
            <w:vAlign w:val="center"/>
            <w:hideMark/>
          </w:tcPr>
          <w:p w14:paraId="23F20F78"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720" w:type="dxa"/>
            <w:shd w:val="clear" w:color="auto" w:fill="auto"/>
            <w:vAlign w:val="center"/>
          </w:tcPr>
          <w:p w14:paraId="18483315" w14:textId="77777777" w:rsidR="00C90AAE" w:rsidRPr="006D2651" w:rsidRDefault="00C90AAE" w:rsidP="00A10F1B">
            <w:pPr>
              <w:spacing w:after="0"/>
              <w:jc w:val="center"/>
              <w:rPr>
                <w:rFonts w:ascii="Times New Roman" w:hAnsi="Times New Roman"/>
                <w:color w:val="000000"/>
                <w:sz w:val="20"/>
                <w:szCs w:val="20"/>
              </w:rPr>
            </w:pPr>
          </w:p>
        </w:tc>
        <w:tc>
          <w:tcPr>
            <w:tcW w:w="720" w:type="dxa"/>
            <w:shd w:val="clear" w:color="auto" w:fill="auto"/>
            <w:vAlign w:val="center"/>
          </w:tcPr>
          <w:p w14:paraId="24DC60DB" w14:textId="77777777" w:rsidR="00C90AAE" w:rsidRPr="006D2651" w:rsidRDefault="00C90AAE" w:rsidP="00A10F1B">
            <w:pPr>
              <w:spacing w:after="0"/>
              <w:jc w:val="center"/>
              <w:rPr>
                <w:rFonts w:ascii="Times New Roman" w:hAnsi="Times New Roman"/>
                <w:color w:val="000000"/>
                <w:sz w:val="20"/>
                <w:szCs w:val="20"/>
              </w:rPr>
            </w:pPr>
          </w:p>
        </w:tc>
        <w:tc>
          <w:tcPr>
            <w:tcW w:w="900" w:type="dxa"/>
            <w:shd w:val="clear" w:color="auto" w:fill="auto"/>
            <w:vAlign w:val="center"/>
          </w:tcPr>
          <w:p w14:paraId="357C7C30" w14:textId="77777777" w:rsidR="00C90AAE" w:rsidRPr="006D2651" w:rsidRDefault="00C90AAE" w:rsidP="00A10F1B">
            <w:pPr>
              <w:spacing w:after="0"/>
              <w:jc w:val="center"/>
              <w:rPr>
                <w:rFonts w:ascii="Times New Roman" w:hAnsi="Times New Roman"/>
                <w:color w:val="000000"/>
                <w:sz w:val="20"/>
                <w:szCs w:val="20"/>
              </w:rPr>
            </w:pPr>
          </w:p>
        </w:tc>
        <w:tc>
          <w:tcPr>
            <w:tcW w:w="990" w:type="dxa"/>
            <w:shd w:val="clear" w:color="auto" w:fill="auto"/>
            <w:vAlign w:val="center"/>
          </w:tcPr>
          <w:p w14:paraId="03B513FC" w14:textId="77777777" w:rsidR="00C90AAE" w:rsidRPr="006D2651" w:rsidRDefault="00C90AAE" w:rsidP="00A10F1B">
            <w:pPr>
              <w:spacing w:after="0"/>
              <w:jc w:val="center"/>
              <w:rPr>
                <w:rFonts w:ascii="Times New Roman" w:hAnsi="Times New Roman"/>
                <w:color w:val="000000"/>
                <w:sz w:val="20"/>
                <w:szCs w:val="20"/>
              </w:rPr>
            </w:pPr>
          </w:p>
        </w:tc>
        <w:tc>
          <w:tcPr>
            <w:tcW w:w="900" w:type="dxa"/>
            <w:shd w:val="clear" w:color="auto" w:fill="auto"/>
            <w:vAlign w:val="center"/>
          </w:tcPr>
          <w:p w14:paraId="54CC5627" w14:textId="77777777" w:rsidR="00C90AAE" w:rsidRPr="006D2651" w:rsidRDefault="00C90AAE" w:rsidP="00A10F1B">
            <w:pPr>
              <w:spacing w:after="0"/>
              <w:jc w:val="center"/>
              <w:rPr>
                <w:rFonts w:ascii="Times New Roman" w:hAnsi="Times New Roman"/>
                <w:color w:val="000000"/>
                <w:sz w:val="20"/>
                <w:szCs w:val="20"/>
              </w:rPr>
            </w:pPr>
          </w:p>
        </w:tc>
        <w:tc>
          <w:tcPr>
            <w:tcW w:w="900" w:type="dxa"/>
            <w:shd w:val="clear" w:color="auto" w:fill="auto"/>
            <w:vAlign w:val="center"/>
          </w:tcPr>
          <w:p w14:paraId="3E120B6E" w14:textId="77777777" w:rsidR="00C90AAE" w:rsidRPr="006D2651" w:rsidRDefault="00C90AAE" w:rsidP="00A10F1B">
            <w:pPr>
              <w:spacing w:after="0"/>
              <w:jc w:val="center"/>
              <w:rPr>
                <w:rFonts w:ascii="Times New Roman" w:hAnsi="Times New Roman"/>
                <w:color w:val="000000"/>
                <w:sz w:val="20"/>
                <w:szCs w:val="20"/>
              </w:rPr>
            </w:pPr>
          </w:p>
        </w:tc>
        <w:tc>
          <w:tcPr>
            <w:tcW w:w="900" w:type="dxa"/>
            <w:shd w:val="clear" w:color="auto" w:fill="auto"/>
            <w:vAlign w:val="center"/>
          </w:tcPr>
          <w:p w14:paraId="554D5F10" w14:textId="77777777" w:rsidR="00C90AAE" w:rsidRPr="006D2651" w:rsidRDefault="00C90AAE" w:rsidP="00A10F1B">
            <w:pPr>
              <w:spacing w:after="0"/>
              <w:jc w:val="center"/>
              <w:rPr>
                <w:rFonts w:ascii="Times New Roman" w:hAnsi="Times New Roman"/>
                <w:color w:val="000000"/>
                <w:sz w:val="20"/>
                <w:szCs w:val="20"/>
              </w:rPr>
            </w:pPr>
          </w:p>
        </w:tc>
        <w:tc>
          <w:tcPr>
            <w:tcW w:w="917" w:type="dxa"/>
            <w:shd w:val="clear" w:color="auto" w:fill="auto"/>
            <w:vAlign w:val="center"/>
          </w:tcPr>
          <w:p w14:paraId="1444DC6E"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678C2FA0" w14:textId="77777777" w:rsidTr="00A10F1B">
        <w:trPr>
          <w:trHeight w:val="325"/>
        </w:trPr>
        <w:tc>
          <w:tcPr>
            <w:tcW w:w="2554" w:type="dxa"/>
            <w:shd w:val="clear" w:color="auto" w:fill="auto"/>
            <w:noWrap/>
            <w:vAlign w:val="center"/>
            <w:hideMark/>
          </w:tcPr>
          <w:p w14:paraId="2FBDF762"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720" w:type="dxa"/>
            <w:shd w:val="clear" w:color="auto" w:fill="auto"/>
            <w:vAlign w:val="center"/>
          </w:tcPr>
          <w:p w14:paraId="25C8469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720" w:type="dxa"/>
            <w:shd w:val="clear" w:color="auto" w:fill="auto"/>
            <w:vAlign w:val="center"/>
          </w:tcPr>
          <w:p w14:paraId="0F49D0F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00" w:type="dxa"/>
            <w:shd w:val="clear" w:color="auto" w:fill="auto"/>
            <w:vAlign w:val="center"/>
          </w:tcPr>
          <w:p w14:paraId="1DE2B56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90" w:type="dxa"/>
            <w:shd w:val="clear" w:color="auto" w:fill="auto"/>
            <w:vAlign w:val="center"/>
          </w:tcPr>
          <w:p w14:paraId="1D56EFB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00" w:type="dxa"/>
            <w:shd w:val="clear" w:color="auto" w:fill="auto"/>
            <w:vAlign w:val="center"/>
          </w:tcPr>
          <w:p w14:paraId="2B360BA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00" w:type="dxa"/>
            <w:shd w:val="clear" w:color="auto" w:fill="auto"/>
            <w:vAlign w:val="center"/>
          </w:tcPr>
          <w:p w14:paraId="5369E1E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00" w:type="dxa"/>
            <w:shd w:val="clear" w:color="auto" w:fill="auto"/>
            <w:vAlign w:val="center"/>
          </w:tcPr>
          <w:p w14:paraId="200C4BC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17" w:type="dxa"/>
            <w:shd w:val="clear" w:color="auto" w:fill="auto"/>
            <w:vAlign w:val="center"/>
          </w:tcPr>
          <w:p w14:paraId="12C3407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r>
      <w:tr w:rsidR="00C90AAE" w:rsidRPr="006D2651" w14:paraId="1DDC866C" w14:textId="77777777" w:rsidTr="00A10F1B">
        <w:trPr>
          <w:trHeight w:val="325"/>
        </w:trPr>
        <w:tc>
          <w:tcPr>
            <w:tcW w:w="2554" w:type="dxa"/>
            <w:shd w:val="clear" w:color="auto" w:fill="auto"/>
            <w:noWrap/>
            <w:vAlign w:val="center"/>
            <w:hideMark/>
          </w:tcPr>
          <w:p w14:paraId="080C01A4"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720" w:type="dxa"/>
            <w:shd w:val="clear" w:color="auto" w:fill="auto"/>
            <w:vAlign w:val="center"/>
          </w:tcPr>
          <w:p w14:paraId="4FA7B55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127.27 </w:t>
            </w:r>
          </w:p>
        </w:tc>
        <w:tc>
          <w:tcPr>
            <w:tcW w:w="720" w:type="dxa"/>
            <w:shd w:val="clear" w:color="auto" w:fill="auto"/>
            <w:vAlign w:val="center"/>
          </w:tcPr>
          <w:p w14:paraId="6FE580E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131.09 </w:t>
            </w:r>
          </w:p>
        </w:tc>
        <w:tc>
          <w:tcPr>
            <w:tcW w:w="900" w:type="dxa"/>
            <w:shd w:val="clear" w:color="auto" w:fill="auto"/>
            <w:vAlign w:val="center"/>
          </w:tcPr>
          <w:p w14:paraId="528E3E9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135.02 </w:t>
            </w:r>
          </w:p>
        </w:tc>
        <w:tc>
          <w:tcPr>
            <w:tcW w:w="990" w:type="dxa"/>
            <w:shd w:val="clear" w:color="auto" w:fill="auto"/>
            <w:vAlign w:val="center"/>
          </w:tcPr>
          <w:p w14:paraId="3604BEB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139.07 </w:t>
            </w:r>
          </w:p>
        </w:tc>
        <w:tc>
          <w:tcPr>
            <w:tcW w:w="900" w:type="dxa"/>
            <w:shd w:val="clear" w:color="auto" w:fill="auto"/>
            <w:vAlign w:val="center"/>
          </w:tcPr>
          <w:p w14:paraId="6F15365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143.24 </w:t>
            </w:r>
          </w:p>
        </w:tc>
        <w:tc>
          <w:tcPr>
            <w:tcW w:w="900" w:type="dxa"/>
            <w:shd w:val="clear" w:color="auto" w:fill="auto"/>
            <w:vAlign w:val="center"/>
          </w:tcPr>
          <w:p w14:paraId="1BD37D5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147.54 </w:t>
            </w:r>
          </w:p>
        </w:tc>
        <w:tc>
          <w:tcPr>
            <w:tcW w:w="900" w:type="dxa"/>
            <w:shd w:val="clear" w:color="auto" w:fill="auto"/>
            <w:vAlign w:val="center"/>
          </w:tcPr>
          <w:p w14:paraId="1B7CD15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151.97 </w:t>
            </w:r>
          </w:p>
        </w:tc>
        <w:tc>
          <w:tcPr>
            <w:tcW w:w="917" w:type="dxa"/>
            <w:shd w:val="clear" w:color="auto" w:fill="auto"/>
            <w:vAlign w:val="center"/>
          </w:tcPr>
          <w:p w14:paraId="1E78DDA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156.53 </w:t>
            </w:r>
          </w:p>
        </w:tc>
      </w:tr>
      <w:tr w:rsidR="00C90AAE" w:rsidRPr="006D2651" w14:paraId="0B3DD6C7" w14:textId="77777777" w:rsidTr="00A10F1B">
        <w:trPr>
          <w:trHeight w:val="325"/>
        </w:trPr>
        <w:tc>
          <w:tcPr>
            <w:tcW w:w="2554" w:type="dxa"/>
            <w:shd w:val="clear" w:color="auto" w:fill="auto"/>
            <w:noWrap/>
            <w:vAlign w:val="center"/>
            <w:hideMark/>
          </w:tcPr>
          <w:p w14:paraId="301D9189"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720" w:type="dxa"/>
            <w:shd w:val="clear" w:color="auto" w:fill="auto"/>
            <w:vAlign w:val="center"/>
          </w:tcPr>
          <w:p w14:paraId="7965065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715.11 </w:t>
            </w:r>
          </w:p>
        </w:tc>
        <w:tc>
          <w:tcPr>
            <w:tcW w:w="720" w:type="dxa"/>
            <w:shd w:val="clear" w:color="auto" w:fill="auto"/>
            <w:vAlign w:val="center"/>
          </w:tcPr>
          <w:p w14:paraId="33B2169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711.29 </w:t>
            </w:r>
          </w:p>
        </w:tc>
        <w:tc>
          <w:tcPr>
            <w:tcW w:w="900" w:type="dxa"/>
            <w:shd w:val="clear" w:color="auto" w:fill="auto"/>
            <w:vAlign w:val="center"/>
          </w:tcPr>
          <w:p w14:paraId="5218B16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707.36 </w:t>
            </w:r>
          </w:p>
        </w:tc>
        <w:tc>
          <w:tcPr>
            <w:tcW w:w="990" w:type="dxa"/>
            <w:shd w:val="clear" w:color="auto" w:fill="auto"/>
            <w:vAlign w:val="center"/>
          </w:tcPr>
          <w:p w14:paraId="1859EE5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703.31 </w:t>
            </w:r>
          </w:p>
        </w:tc>
        <w:tc>
          <w:tcPr>
            <w:tcW w:w="900" w:type="dxa"/>
            <w:shd w:val="clear" w:color="auto" w:fill="auto"/>
            <w:vAlign w:val="center"/>
          </w:tcPr>
          <w:p w14:paraId="4D19757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699.14 </w:t>
            </w:r>
          </w:p>
        </w:tc>
        <w:tc>
          <w:tcPr>
            <w:tcW w:w="900" w:type="dxa"/>
            <w:shd w:val="clear" w:color="auto" w:fill="auto"/>
            <w:vAlign w:val="center"/>
          </w:tcPr>
          <w:p w14:paraId="64BC4BB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694.84 </w:t>
            </w:r>
          </w:p>
        </w:tc>
        <w:tc>
          <w:tcPr>
            <w:tcW w:w="900" w:type="dxa"/>
            <w:shd w:val="clear" w:color="auto" w:fill="auto"/>
            <w:vAlign w:val="center"/>
          </w:tcPr>
          <w:p w14:paraId="26B1A47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690.41 </w:t>
            </w:r>
          </w:p>
        </w:tc>
        <w:tc>
          <w:tcPr>
            <w:tcW w:w="917" w:type="dxa"/>
            <w:shd w:val="clear" w:color="auto" w:fill="auto"/>
            <w:vAlign w:val="center"/>
          </w:tcPr>
          <w:p w14:paraId="080036A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685.85 </w:t>
            </w:r>
          </w:p>
        </w:tc>
      </w:tr>
    </w:tbl>
    <w:p w14:paraId="5E653A8D" w14:textId="77777777" w:rsidR="00C90AAE" w:rsidRPr="006D2651" w:rsidRDefault="00C90AAE" w:rsidP="00C90AAE">
      <w:pPr>
        <w:spacing w:after="0"/>
        <w:jc w:val="both"/>
        <w:rPr>
          <w:rFonts w:ascii="Times New Roman" w:hAnsi="Times New Roman"/>
          <w:sz w:val="20"/>
          <w:szCs w:val="20"/>
          <w:highlight w:val="yellow"/>
          <w:u w:val="single"/>
        </w:rPr>
      </w:pPr>
    </w:p>
    <w:p w14:paraId="6C841E25" w14:textId="77777777" w:rsidR="00C90AAE" w:rsidRPr="006D2651" w:rsidRDefault="00C90AAE" w:rsidP="00C90AAE">
      <w:pPr>
        <w:jc w:val="both"/>
        <w:rPr>
          <w:rFonts w:ascii="Times New Roman" w:hAnsi="Times New Roman"/>
          <w:b/>
          <w:bCs/>
          <w:sz w:val="20"/>
          <w:szCs w:val="20"/>
        </w:rPr>
      </w:pPr>
      <w:r w:rsidRPr="006D2651">
        <w:rPr>
          <w:rFonts w:ascii="Times New Roman" w:hAnsi="Times New Roman"/>
          <w:b/>
          <w:sz w:val="20"/>
          <w:szCs w:val="20"/>
        </w:rPr>
        <w:t>Illustration-3</w:t>
      </w:r>
      <w:r w:rsidRPr="006D2651">
        <w:rPr>
          <w:rFonts w:ascii="Times New Roman" w:hAnsi="Times New Roman"/>
          <w:b/>
          <w:bCs/>
          <w:sz w:val="20"/>
          <w:szCs w:val="20"/>
        </w:rPr>
        <w:t xml:space="preserve"> for multi-tap off point LPG pipeline</w:t>
      </w:r>
    </w:p>
    <w:p w14:paraId="23855300"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An LPG pipeline of length 910 km transporting product is assumed to have an injection point at A and multiple tap-off points (TOP) at B, C and D. TOP B is at a distance of 770 km, TOP C is at a distance of 880 km and TOP D is at a distance of 910 km. The product flow is assumed from A to all the three tap-off (TOP) points equally. The pipeline has commissioned after the notification of the Petroleum and Natural Gas Regulatory Board (Determination of Petroleum and Petroleum Products Pipeline Transportation Tariff) Regulations, 2010. </w:t>
      </w:r>
    </w:p>
    <w:p w14:paraId="4CCDEDA8"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lastRenderedPageBreak/>
        <w:t>Petroleum products pipeline transportation tariffs for such pipelines till the date on which these regulations come into force are determined through benchmarking against basic notional railway freight on train load basis for equivalent rail distance along pipeline route. For LPG, the pipeline tariff is benchmarked at 100 per cent of basic notional railway freight under class 165.</w:t>
      </w:r>
    </w:p>
    <w:p w14:paraId="13232AE3"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capacity of the pipeline is considered as 2.67 MMTPA and diameter is considered as 12” and pipeline is assumed to have commenced its operations from 2017.</w:t>
      </w:r>
    </w:p>
    <w:p w14:paraId="47310CAC"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The actual volumes of product transported have been considered basis normative volumes split into 3 delivery points (in MMTPA) as per the table below:  </w:t>
      </w:r>
    </w:p>
    <w:p w14:paraId="3FC003E4" w14:textId="5C74403F" w:rsidR="00C90AAE" w:rsidRDefault="00C90AAE" w:rsidP="00C90AAE">
      <w:pPr>
        <w:spacing w:after="80"/>
        <w:jc w:val="both"/>
        <w:rPr>
          <w:rFonts w:ascii="Times New Roman" w:hAnsi="Times New Roman"/>
          <w:sz w:val="20"/>
          <w:szCs w:val="20"/>
        </w:rPr>
      </w:pPr>
      <w:r w:rsidRPr="006D2651">
        <w:rPr>
          <w:rFonts w:ascii="Times New Roman" w:hAnsi="Times New Roman"/>
          <w:sz w:val="20"/>
          <w:szCs w:val="20"/>
        </w:rPr>
        <w:t>The volumes are considered as per the table below:</w:t>
      </w:r>
    </w:p>
    <w:p w14:paraId="72D1A313" w14:textId="25891C88" w:rsidR="00C34994" w:rsidRDefault="00C34994" w:rsidP="00C90AAE">
      <w:pPr>
        <w:spacing w:after="80"/>
        <w:jc w:val="both"/>
        <w:rPr>
          <w:rFonts w:ascii="Times New Roman" w:hAnsi="Times New Roman"/>
          <w:sz w:val="20"/>
          <w:szCs w:val="20"/>
        </w:rPr>
      </w:pPr>
    </w:p>
    <w:p w14:paraId="1818673F" w14:textId="77777777" w:rsidR="00C34994" w:rsidRPr="006D2651" w:rsidRDefault="00C34994" w:rsidP="00C90AAE">
      <w:pPr>
        <w:spacing w:after="80"/>
        <w:jc w:val="both"/>
        <w:rPr>
          <w:rFonts w:ascii="Times New Roman" w:hAnsi="Times New Roman"/>
          <w:sz w:val="20"/>
          <w:szCs w:val="20"/>
        </w:rPr>
      </w:pPr>
    </w:p>
    <w:tbl>
      <w:tblPr>
        <w:tblW w:w="9382" w:type="dxa"/>
        <w:tblInd w:w="-5" w:type="dxa"/>
        <w:tblLayout w:type="fixed"/>
        <w:tblCellMar>
          <w:left w:w="29" w:type="dxa"/>
          <w:right w:w="29" w:type="dxa"/>
        </w:tblCellMar>
        <w:tblLook w:val="04A0" w:firstRow="1" w:lastRow="0" w:firstColumn="1" w:lastColumn="0" w:noHBand="0" w:noVBand="1"/>
      </w:tblPr>
      <w:tblGrid>
        <w:gridCol w:w="713"/>
        <w:gridCol w:w="666"/>
        <w:gridCol w:w="667"/>
        <w:gridCol w:w="667"/>
        <w:gridCol w:w="667"/>
        <w:gridCol w:w="667"/>
        <w:gridCol w:w="667"/>
        <w:gridCol w:w="667"/>
        <w:gridCol w:w="667"/>
        <w:gridCol w:w="667"/>
        <w:gridCol w:w="667"/>
        <w:gridCol w:w="667"/>
        <w:gridCol w:w="667"/>
        <w:gridCol w:w="666"/>
      </w:tblGrid>
      <w:tr w:rsidR="00C90AAE" w:rsidRPr="006D2651" w14:paraId="2BA8A187" w14:textId="77777777" w:rsidTr="00A10F1B">
        <w:trPr>
          <w:trHeight w:val="403"/>
        </w:trPr>
        <w:tc>
          <w:tcPr>
            <w:tcW w:w="713" w:type="dxa"/>
            <w:tcBorders>
              <w:top w:val="single" w:sz="4" w:space="0" w:color="auto"/>
              <w:left w:val="single" w:sz="4" w:space="0" w:color="auto"/>
              <w:bottom w:val="single" w:sz="4" w:space="0" w:color="auto"/>
              <w:right w:val="single" w:sz="4" w:space="0" w:color="auto"/>
            </w:tcBorders>
            <w:shd w:val="clear" w:color="auto" w:fill="auto"/>
          </w:tcPr>
          <w:p w14:paraId="446220C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Route</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B80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3B92A5B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03EBABB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Y3</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0327E76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Y4</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2CE4EBF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Y5</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653CB67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Y6</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65303D3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Y7</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06A8F58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Y8</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1ADFABF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11D3C7A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049EB3E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57693A4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7AEE867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r>
      <w:tr w:rsidR="00C90AAE" w:rsidRPr="006D2651" w14:paraId="7A771E11" w14:textId="77777777" w:rsidTr="00A10F1B">
        <w:trPr>
          <w:trHeight w:val="403"/>
        </w:trPr>
        <w:tc>
          <w:tcPr>
            <w:tcW w:w="713" w:type="dxa"/>
            <w:tcBorders>
              <w:top w:val="single" w:sz="4" w:space="0" w:color="auto"/>
              <w:left w:val="single" w:sz="4" w:space="0" w:color="auto"/>
              <w:bottom w:val="single" w:sz="4" w:space="0" w:color="auto"/>
              <w:right w:val="single" w:sz="4" w:space="0" w:color="auto"/>
            </w:tcBorders>
            <w:vAlign w:val="center"/>
          </w:tcPr>
          <w:p w14:paraId="7F4970E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A-B</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D95A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4FE3F19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0.23</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76B78B8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0.27</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7A70FFA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5C0B9CE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0.33</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448E320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1E227C5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0.47</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2C0976E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0.53</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0223D04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32F991B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2B57676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5327CAE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38A058B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r w:rsidR="00C90AAE" w:rsidRPr="006D2651" w14:paraId="5179D03C" w14:textId="77777777" w:rsidTr="00A10F1B">
        <w:trPr>
          <w:trHeight w:val="403"/>
        </w:trPr>
        <w:tc>
          <w:tcPr>
            <w:tcW w:w="713" w:type="dxa"/>
            <w:tcBorders>
              <w:top w:val="single" w:sz="4" w:space="0" w:color="auto"/>
              <w:left w:val="single" w:sz="4" w:space="0" w:color="auto"/>
              <w:bottom w:val="single" w:sz="4" w:space="0" w:color="auto"/>
              <w:right w:val="single" w:sz="4" w:space="0" w:color="auto"/>
            </w:tcBorders>
            <w:vAlign w:val="center"/>
          </w:tcPr>
          <w:p w14:paraId="46C972F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A-C</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C3F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106270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4142B0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44C2C20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E9B036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1BDF47D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FD4A60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BF3267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0.53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3A17E36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417C7CA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FC5F08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47A91BD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D9D2AA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r w:rsidR="00C90AAE" w:rsidRPr="006D2651" w14:paraId="6D797531" w14:textId="77777777" w:rsidTr="00A10F1B">
        <w:trPr>
          <w:trHeight w:val="403"/>
        </w:trPr>
        <w:tc>
          <w:tcPr>
            <w:tcW w:w="713" w:type="dxa"/>
            <w:tcBorders>
              <w:top w:val="single" w:sz="4" w:space="0" w:color="auto"/>
              <w:left w:val="single" w:sz="4" w:space="0" w:color="auto"/>
              <w:bottom w:val="single" w:sz="4" w:space="0" w:color="auto"/>
              <w:right w:val="single" w:sz="4" w:space="0" w:color="auto"/>
            </w:tcBorders>
            <w:vAlign w:val="center"/>
          </w:tcPr>
          <w:p w14:paraId="493674E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A-D</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F72F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3C5B798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1C510DA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0.27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6C86681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B53DD5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0.33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B5F729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7BB6A1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0.47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6BE2A5E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0.53</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7103D1A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0.60</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3A8EF72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19ACFE1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1C9BBD0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1DAF69C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bl>
    <w:p w14:paraId="36D719C9" w14:textId="21D3B971" w:rsidR="00C90AAE" w:rsidRPr="00C34994" w:rsidRDefault="00C90AAE" w:rsidP="00C90AAE">
      <w:pPr>
        <w:jc w:val="both"/>
        <w:rPr>
          <w:rFonts w:ascii="Times New Roman" w:hAnsi="Times New Roman"/>
          <w:b/>
          <w:sz w:val="4"/>
          <w:szCs w:val="4"/>
        </w:rPr>
      </w:pPr>
    </w:p>
    <w:tbl>
      <w:tblPr>
        <w:tblW w:w="9734" w:type="dxa"/>
        <w:tblInd w:w="-5" w:type="dxa"/>
        <w:tblLayout w:type="fixed"/>
        <w:tblCellMar>
          <w:left w:w="29" w:type="dxa"/>
          <w:right w:w="29" w:type="dxa"/>
        </w:tblCellMar>
        <w:tblLook w:val="04A0" w:firstRow="1" w:lastRow="0" w:firstColumn="1" w:lastColumn="0" w:noHBand="0" w:noVBand="1"/>
      </w:tblPr>
      <w:tblGrid>
        <w:gridCol w:w="818"/>
        <w:gridCol w:w="743"/>
        <w:gridCol w:w="743"/>
        <w:gridCol w:w="743"/>
        <w:gridCol w:w="743"/>
        <w:gridCol w:w="743"/>
        <w:gridCol w:w="743"/>
        <w:gridCol w:w="743"/>
        <w:gridCol w:w="743"/>
        <w:gridCol w:w="743"/>
        <w:gridCol w:w="743"/>
        <w:gridCol w:w="743"/>
        <w:gridCol w:w="743"/>
      </w:tblGrid>
      <w:tr w:rsidR="00C90AAE" w:rsidRPr="006D2651" w14:paraId="1CE4B2D3" w14:textId="77777777" w:rsidTr="00A10F1B">
        <w:trPr>
          <w:trHeight w:val="424"/>
        </w:trPr>
        <w:tc>
          <w:tcPr>
            <w:tcW w:w="818" w:type="dxa"/>
            <w:tcBorders>
              <w:top w:val="single" w:sz="4" w:space="0" w:color="auto"/>
              <w:left w:val="single" w:sz="4" w:space="0" w:color="auto"/>
              <w:bottom w:val="single" w:sz="4" w:space="0" w:color="auto"/>
              <w:right w:val="single" w:sz="4" w:space="0" w:color="auto"/>
            </w:tcBorders>
            <w:shd w:val="clear" w:color="auto" w:fill="auto"/>
          </w:tcPr>
          <w:p w14:paraId="60C052CC"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Route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4D35585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28AE19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4FD2B7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2F79EE6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3BC458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8C430E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994ADE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7E0B2F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223F6A9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5E975D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85B193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9E337E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6822418B" w14:textId="77777777" w:rsidTr="00A10F1B">
        <w:trPr>
          <w:trHeight w:val="424"/>
        </w:trPr>
        <w:tc>
          <w:tcPr>
            <w:tcW w:w="818" w:type="dxa"/>
            <w:tcBorders>
              <w:top w:val="single" w:sz="4" w:space="0" w:color="auto"/>
              <w:left w:val="single" w:sz="4" w:space="0" w:color="auto"/>
              <w:bottom w:val="single" w:sz="4" w:space="0" w:color="auto"/>
              <w:right w:val="single" w:sz="4" w:space="0" w:color="auto"/>
            </w:tcBorders>
            <w:vAlign w:val="center"/>
          </w:tcPr>
          <w:p w14:paraId="0CACFFB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A-B</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3DB497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E9DBA8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409F9F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DC7CE5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544271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29B7F0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265373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004F72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98969E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7B0B6A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15D236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D23F95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r w:rsidR="00C90AAE" w:rsidRPr="006D2651" w14:paraId="38656392" w14:textId="77777777" w:rsidTr="00A10F1B">
        <w:trPr>
          <w:trHeight w:val="424"/>
        </w:trPr>
        <w:tc>
          <w:tcPr>
            <w:tcW w:w="818" w:type="dxa"/>
            <w:tcBorders>
              <w:top w:val="single" w:sz="4" w:space="0" w:color="auto"/>
              <w:left w:val="single" w:sz="4" w:space="0" w:color="auto"/>
              <w:bottom w:val="single" w:sz="4" w:space="0" w:color="auto"/>
              <w:right w:val="single" w:sz="4" w:space="0" w:color="auto"/>
            </w:tcBorders>
            <w:vAlign w:val="center"/>
          </w:tcPr>
          <w:p w14:paraId="05396CE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A-C</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0713B9F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AD2806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8953F1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30A34F3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0422F1B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4B9F88D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4251830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4C1BDAF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63AB02A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329195D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62F06E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252931B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r w:rsidR="00C90AAE" w:rsidRPr="006D2651" w14:paraId="3A8ACB6A" w14:textId="77777777" w:rsidTr="00A10F1B">
        <w:trPr>
          <w:trHeight w:val="424"/>
        </w:trPr>
        <w:tc>
          <w:tcPr>
            <w:tcW w:w="818" w:type="dxa"/>
            <w:tcBorders>
              <w:top w:val="single" w:sz="4" w:space="0" w:color="auto"/>
              <w:left w:val="single" w:sz="4" w:space="0" w:color="auto"/>
              <w:bottom w:val="single" w:sz="4" w:space="0" w:color="auto"/>
              <w:right w:val="single" w:sz="4" w:space="0" w:color="auto"/>
            </w:tcBorders>
            <w:vAlign w:val="center"/>
          </w:tcPr>
          <w:p w14:paraId="24A997F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A-D</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937432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7818355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53C416D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24ACF8D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AD4306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5952558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46A91CE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60C5939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16BCF0D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6971074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30321DF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0DB381E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0.67</w:t>
            </w:r>
          </w:p>
        </w:tc>
      </w:tr>
    </w:tbl>
    <w:p w14:paraId="79AA7533" w14:textId="77777777" w:rsidR="00C90AAE" w:rsidRPr="006D2651" w:rsidRDefault="00C90AAE" w:rsidP="00C90AAE">
      <w:pPr>
        <w:spacing w:after="0"/>
        <w:jc w:val="both"/>
        <w:rPr>
          <w:rFonts w:ascii="Times New Roman" w:hAnsi="Times New Roman"/>
          <w:b/>
          <w:sz w:val="20"/>
          <w:szCs w:val="20"/>
        </w:rPr>
      </w:pPr>
    </w:p>
    <w:p w14:paraId="1B5F219C"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The capex has been assumed at ₹ 1,578 crore and </w:t>
      </w:r>
      <w:proofErr w:type="spellStart"/>
      <w:r w:rsidRPr="006D2651">
        <w:rPr>
          <w:rFonts w:ascii="Times New Roman" w:hAnsi="Times New Roman"/>
          <w:sz w:val="20"/>
          <w:szCs w:val="20"/>
        </w:rPr>
        <w:t>opex</w:t>
      </w:r>
      <w:proofErr w:type="spellEnd"/>
      <w:r w:rsidRPr="006D2651">
        <w:rPr>
          <w:rFonts w:ascii="Times New Roman" w:hAnsi="Times New Roman"/>
          <w:sz w:val="20"/>
          <w:szCs w:val="20"/>
        </w:rPr>
        <w:t xml:space="preserve"> is assumed at ₹ 88 crore for the first year with an escalation of 3 per cent per year. The tariff rates from FY 2017 to FY 2024 based on railway tariff are as follows:</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088"/>
        <w:gridCol w:w="1242"/>
        <w:gridCol w:w="1244"/>
        <w:gridCol w:w="1244"/>
        <w:gridCol w:w="1244"/>
      </w:tblGrid>
      <w:tr w:rsidR="00C90AAE" w:rsidRPr="006D2651" w14:paraId="2587B3D9" w14:textId="77777777" w:rsidTr="00A10F1B">
        <w:trPr>
          <w:trHeight w:val="117"/>
        </w:trPr>
        <w:tc>
          <w:tcPr>
            <w:tcW w:w="1852" w:type="pct"/>
            <w:shd w:val="clear" w:color="auto" w:fill="auto"/>
            <w:noWrap/>
            <w:vAlign w:val="center"/>
            <w:hideMark/>
          </w:tcPr>
          <w:p w14:paraId="2B992FB8"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Year</w:t>
            </w:r>
          </w:p>
        </w:tc>
        <w:tc>
          <w:tcPr>
            <w:tcW w:w="565" w:type="pct"/>
            <w:shd w:val="clear" w:color="auto" w:fill="auto"/>
            <w:vAlign w:val="center"/>
            <w:hideMark/>
          </w:tcPr>
          <w:p w14:paraId="2EC87BB7" w14:textId="77777777" w:rsidR="00C90AAE" w:rsidRPr="006D2651" w:rsidRDefault="00C90AAE" w:rsidP="00A10F1B">
            <w:pPr>
              <w:jc w:val="center"/>
              <w:rPr>
                <w:rFonts w:ascii="Times New Roman" w:hAnsi="Times New Roman"/>
                <w:b/>
                <w:bCs/>
                <w:sz w:val="20"/>
                <w:szCs w:val="20"/>
                <w:lang w:val="en-GB"/>
              </w:rPr>
            </w:pPr>
            <w:r w:rsidRPr="006D2651">
              <w:rPr>
                <w:rFonts w:ascii="Times New Roman" w:hAnsi="Times New Roman"/>
                <w:b/>
                <w:bCs/>
                <w:sz w:val="20"/>
                <w:szCs w:val="20"/>
              </w:rPr>
              <w:t>FY 2017</w:t>
            </w:r>
          </w:p>
        </w:tc>
        <w:tc>
          <w:tcPr>
            <w:tcW w:w="645" w:type="pct"/>
            <w:shd w:val="clear" w:color="auto" w:fill="auto"/>
            <w:vAlign w:val="center"/>
            <w:hideMark/>
          </w:tcPr>
          <w:p w14:paraId="5C3ED519" w14:textId="77777777" w:rsidR="00C90AAE" w:rsidRPr="006D2651" w:rsidRDefault="00C90AAE" w:rsidP="00A10F1B">
            <w:pPr>
              <w:jc w:val="center"/>
              <w:rPr>
                <w:rFonts w:ascii="Times New Roman" w:hAnsi="Times New Roman"/>
                <w:b/>
                <w:bCs/>
                <w:sz w:val="20"/>
                <w:szCs w:val="20"/>
                <w:lang w:val="en-GB"/>
              </w:rPr>
            </w:pPr>
            <w:r w:rsidRPr="006D2651">
              <w:rPr>
                <w:rFonts w:ascii="Times New Roman" w:hAnsi="Times New Roman"/>
                <w:b/>
                <w:bCs/>
                <w:sz w:val="20"/>
                <w:szCs w:val="20"/>
              </w:rPr>
              <w:t>FY 2018</w:t>
            </w:r>
          </w:p>
        </w:tc>
        <w:tc>
          <w:tcPr>
            <w:tcW w:w="646" w:type="pct"/>
            <w:shd w:val="clear" w:color="auto" w:fill="auto"/>
            <w:vAlign w:val="center"/>
            <w:hideMark/>
          </w:tcPr>
          <w:p w14:paraId="71821411" w14:textId="77777777" w:rsidR="00C90AAE" w:rsidRPr="006D2651" w:rsidRDefault="00C90AAE" w:rsidP="00A10F1B">
            <w:pPr>
              <w:jc w:val="center"/>
              <w:rPr>
                <w:rFonts w:ascii="Times New Roman" w:hAnsi="Times New Roman"/>
                <w:b/>
                <w:bCs/>
                <w:sz w:val="20"/>
                <w:szCs w:val="20"/>
                <w:lang w:val="en-GB"/>
              </w:rPr>
            </w:pPr>
            <w:r w:rsidRPr="006D2651">
              <w:rPr>
                <w:rFonts w:ascii="Times New Roman" w:hAnsi="Times New Roman"/>
                <w:b/>
                <w:bCs/>
                <w:sz w:val="20"/>
                <w:szCs w:val="20"/>
              </w:rPr>
              <w:t>FY 2019(*)</w:t>
            </w:r>
          </w:p>
        </w:tc>
        <w:tc>
          <w:tcPr>
            <w:tcW w:w="646" w:type="pct"/>
            <w:shd w:val="clear" w:color="auto" w:fill="auto"/>
            <w:vAlign w:val="center"/>
            <w:hideMark/>
          </w:tcPr>
          <w:p w14:paraId="2648D746" w14:textId="77777777" w:rsidR="00C90AAE" w:rsidRPr="006D2651" w:rsidRDefault="00C90AAE" w:rsidP="00A10F1B">
            <w:pPr>
              <w:jc w:val="center"/>
              <w:rPr>
                <w:rFonts w:ascii="Times New Roman" w:hAnsi="Times New Roman"/>
                <w:b/>
                <w:bCs/>
                <w:sz w:val="20"/>
                <w:szCs w:val="20"/>
                <w:lang w:val="en-GB"/>
              </w:rPr>
            </w:pPr>
            <w:r w:rsidRPr="006D2651">
              <w:rPr>
                <w:rFonts w:ascii="Times New Roman" w:hAnsi="Times New Roman"/>
                <w:b/>
                <w:bCs/>
                <w:sz w:val="20"/>
                <w:szCs w:val="20"/>
              </w:rPr>
              <w:t>FY 2020</w:t>
            </w:r>
          </w:p>
        </w:tc>
        <w:tc>
          <w:tcPr>
            <w:tcW w:w="646" w:type="pct"/>
            <w:shd w:val="clear" w:color="auto" w:fill="auto"/>
            <w:vAlign w:val="center"/>
            <w:hideMark/>
          </w:tcPr>
          <w:p w14:paraId="53775F16" w14:textId="77777777" w:rsidR="00C90AAE" w:rsidRPr="006D2651" w:rsidRDefault="00C90AAE" w:rsidP="00A10F1B">
            <w:pPr>
              <w:jc w:val="center"/>
              <w:rPr>
                <w:rFonts w:ascii="Times New Roman" w:hAnsi="Times New Roman"/>
                <w:b/>
                <w:bCs/>
                <w:color w:val="FFFFFF" w:themeColor="background1"/>
                <w:sz w:val="20"/>
                <w:szCs w:val="20"/>
                <w:lang w:val="en-GB"/>
              </w:rPr>
            </w:pPr>
            <w:r w:rsidRPr="006D2651">
              <w:rPr>
                <w:rFonts w:ascii="Times New Roman" w:hAnsi="Times New Roman"/>
                <w:b/>
                <w:bCs/>
                <w:sz w:val="20"/>
                <w:szCs w:val="20"/>
              </w:rPr>
              <w:t>FY 2021</w:t>
            </w:r>
          </w:p>
        </w:tc>
      </w:tr>
      <w:tr w:rsidR="00C90AAE" w:rsidRPr="006D2651" w14:paraId="6CAB0D93" w14:textId="77777777" w:rsidTr="00A10F1B">
        <w:trPr>
          <w:trHeight w:val="117"/>
        </w:trPr>
        <w:tc>
          <w:tcPr>
            <w:tcW w:w="1852" w:type="pct"/>
            <w:shd w:val="clear" w:color="auto" w:fill="auto"/>
            <w:noWrap/>
            <w:vAlign w:val="center"/>
            <w:hideMark/>
          </w:tcPr>
          <w:p w14:paraId="620B520A"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B</w:t>
            </w:r>
          </w:p>
        </w:tc>
        <w:tc>
          <w:tcPr>
            <w:tcW w:w="565" w:type="pct"/>
            <w:shd w:val="clear" w:color="auto" w:fill="auto"/>
            <w:vAlign w:val="center"/>
          </w:tcPr>
          <w:p w14:paraId="67572B0A"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5" w:type="pct"/>
            <w:shd w:val="clear" w:color="auto" w:fill="auto"/>
            <w:vAlign w:val="center"/>
          </w:tcPr>
          <w:p w14:paraId="161AFD9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6" w:type="pct"/>
            <w:shd w:val="clear" w:color="auto" w:fill="auto"/>
            <w:vAlign w:val="center"/>
          </w:tcPr>
          <w:p w14:paraId="247E82D6"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6" w:type="pct"/>
            <w:shd w:val="clear" w:color="auto" w:fill="auto"/>
            <w:vAlign w:val="center"/>
          </w:tcPr>
          <w:p w14:paraId="246E197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c>
          <w:tcPr>
            <w:tcW w:w="646" w:type="pct"/>
            <w:shd w:val="clear" w:color="auto" w:fill="auto"/>
            <w:vAlign w:val="center"/>
          </w:tcPr>
          <w:p w14:paraId="2ED2EBC1"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r>
      <w:tr w:rsidR="00C90AAE" w:rsidRPr="006D2651" w14:paraId="42062E9D" w14:textId="77777777" w:rsidTr="00A10F1B">
        <w:trPr>
          <w:trHeight w:val="117"/>
        </w:trPr>
        <w:tc>
          <w:tcPr>
            <w:tcW w:w="1852" w:type="pct"/>
            <w:shd w:val="clear" w:color="auto" w:fill="auto"/>
            <w:noWrap/>
            <w:vAlign w:val="center"/>
          </w:tcPr>
          <w:p w14:paraId="79349EA9"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C</w:t>
            </w:r>
          </w:p>
        </w:tc>
        <w:tc>
          <w:tcPr>
            <w:tcW w:w="565" w:type="pct"/>
            <w:shd w:val="clear" w:color="auto" w:fill="auto"/>
            <w:vAlign w:val="center"/>
          </w:tcPr>
          <w:p w14:paraId="72B7A6B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5" w:type="pct"/>
            <w:shd w:val="clear" w:color="auto" w:fill="auto"/>
            <w:vAlign w:val="center"/>
          </w:tcPr>
          <w:p w14:paraId="0A8394EC"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6" w:type="pct"/>
            <w:shd w:val="clear" w:color="auto" w:fill="auto"/>
            <w:vAlign w:val="center"/>
          </w:tcPr>
          <w:p w14:paraId="74F4DE8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6" w:type="pct"/>
            <w:shd w:val="clear" w:color="auto" w:fill="auto"/>
            <w:vAlign w:val="center"/>
          </w:tcPr>
          <w:p w14:paraId="7108BA4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646" w:type="pct"/>
            <w:shd w:val="clear" w:color="auto" w:fill="auto"/>
            <w:vAlign w:val="center"/>
          </w:tcPr>
          <w:p w14:paraId="76DE1CDD"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r>
      <w:tr w:rsidR="00C90AAE" w:rsidRPr="006D2651" w14:paraId="4408ED8F" w14:textId="77777777" w:rsidTr="00A10F1B">
        <w:trPr>
          <w:trHeight w:val="117"/>
        </w:trPr>
        <w:tc>
          <w:tcPr>
            <w:tcW w:w="1852" w:type="pct"/>
            <w:shd w:val="clear" w:color="auto" w:fill="auto"/>
            <w:noWrap/>
            <w:vAlign w:val="center"/>
          </w:tcPr>
          <w:p w14:paraId="02371F45"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D</w:t>
            </w:r>
          </w:p>
        </w:tc>
        <w:tc>
          <w:tcPr>
            <w:tcW w:w="565" w:type="pct"/>
            <w:shd w:val="clear" w:color="auto" w:fill="auto"/>
            <w:vAlign w:val="center"/>
          </w:tcPr>
          <w:p w14:paraId="17B75291"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5" w:type="pct"/>
            <w:shd w:val="clear" w:color="auto" w:fill="auto"/>
            <w:vAlign w:val="center"/>
          </w:tcPr>
          <w:p w14:paraId="6EE73681"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6" w:type="pct"/>
            <w:shd w:val="clear" w:color="auto" w:fill="auto"/>
            <w:vAlign w:val="center"/>
          </w:tcPr>
          <w:p w14:paraId="3722DBB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6" w:type="pct"/>
            <w:shd w:val="clear" w:color="auto" w:fill="auto"/>
            <w:vAlign w:val="center"/>
          </w:tcPr>
          <w:p w14:paraId="4F52CD4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646" w:type="pct"/>
            <w:shd w:val="clear" w:color="auto" w:fill="auto"/>
            <w:vAlign w:val="center"/>
          </w:tcPr>
          <w:p w14:paraId="3699C435"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r>
      <w:tr w:rsidR="00C90AAE" w:rsidRPr="006D2651" w14:paraId="7D11725D" w14:textId="77777777" w:rsidTr="00A10F1B">
        <w:trPr>
          <w:trHeight w:val="117"/>
        </w:trPr>
        <w:tc>
          <w:tcPr>
            <w:tcW w:w="1852" w:type="pct"/>
            <w:shd w:val="clear" w:color="auto" w:fill="auto"/>
            <w:noWrap/>
            <w:vAlign w:val="center"/>
            <w:hideMark/>
          </w:tcPr>
          <w:p w14:paraId="258E6BA8"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Pipeline Tariff (₹/MT) – TOP B</w:t>
            </w:r>
          </w:p>
        </w:tc>
        <w:tc>
          <w:tcPr>
            <w:tcW w:w="565" w:type="pct"/>
            <w:shd w:val="clear" w:color="auto" w:fill="auto"/>
            <w:vAlign w:val="center"/>
          </w:tcPr>
          <w:p w14:paraId="63C4C44D"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5" w:type="pct"/>
            <w:shd w:val="clear" w:color="auto" w:fill="auto"/>
            <w:vAlign w:val="center"/>
          </w:tcPr>
          <w:p w14:paraId="0EABA7A0"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6" w:type="pct"/>
            <w:shd w:val="clear" w:color="auto" w:fill="auto"/>
            <w:vAlign w:val="center"/>
          </w:tcPr>
          <w:p w14:paraId="6A4A5CF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1,244.60</w:t>
            </w:r>
          </w:p>
        </w:tc>
        <w:tc>
          <w:tcPr>
            <w:tcW w:w="646" w:type="pct"/>
            <w:shd w:val="clear" w:color="auto" w:fill="auto"/>
            <w:vAlign w:val="center"/>
          </w:tcPr>
          <w:p w14:paraId="41DC961E"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c>
          <w:tcPr>
            <w:tcW w:w="646" w:type="pct"/>
            <w:shd w:val="clear" w:color="auto" w:fill="auto"/>
            <w:vAlign w:val="center"/>
          </w:tcPr>
          <w:p w14:paraId="4677CD7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r>
      <w:tr w:rsidR="00C90AAE" w:rsidRPr="006D2651" w14:paraId="62B43D56" w14:textId="77777777" w:rsidTr="00A10F1B">
        <w:trPr>
          <w:trHeight w:val="117"/>
        </w:trPr>
        <w:tc>
          <w:tcPr>
            <w:tcW w:w="1852" w:type="pct"/>
            <w:shd w:val="clear" w:color="auto" w:fill="auto"/>
            <w:noWrap/>
            <w:vAlign w:val="center"/>
          </w:tcPr>
          <w:p w14:paraId="215D65D4"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Pipeline Tariff (₹/MT) – TOP C</w:t>
            </w:r>
          </w:p>
        </w:tc>
        <w:tc>
          <w:tcPr>
            <w:tcW w:w="565" w:type="pct"/>
            <w:shd w:val="clear" w:color="auto" w:fill="auto"/>
            <w:vAlign w:val="center"/>
          </w:tcPr>
          <w:p w14:paraId="17183C3A"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5" w:type="pct"/>
            <w:shd w:val="clear" w:color="auto" w:fill="auto"/>
            <w:vAlign w:val="center"/>
          </w:tcPr>
          <w:p w14:paraId="17CB381E"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6" w:type="pct"/>
            <w:shd w:val="clear" w:color="auto" w:fill="auto"/>
            <w:vAlign w:val="center"/>
          </w:tcPr>
          <w:p w14:paraId="6A348F78"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1390.50</w:t>
            </w:r>
          </w:p>
        </w:tc>
        <w:tc>
          <w:tcPr>
            <w:tcW w:w="646" w:type="pct"/>
            <w:shd w:val="clear" w:color="auto" w:fill="auto"/>
            <w:vAlign w:val="center"/>
          </w:tcPr>
          <w:p w14:paraId="7D70CDC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646" w:type="pct"/>
            <w:shd w:val="clear" w:color="auto" w:fill="auto"/>
            <w:vAlign w:val="center"/>
          </w:tcPr>
          <w:p w14:paraId="6B9232D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r>
      <w:tr w:rsidR="00C90AAE" w:rsidRPr="006D2651" w14:paraId="44513DB5" w14:textId="77777777" w:rsidTr="00A10F1B">
        <w:trPr>
          <w:trHeight w:val="117"/>
        </w:trPr>
        <w:tc>
          <w:tcPr>
            <w:tcW w:w="1852" w:type="pct"/>
            <w:shd w:val="clear" w:color="auto" w:fill="auto"/>
            <w:noWrap/>
            <w:vAlign w:val="center"/>
          </w:tcPr>
          <w:p w14:paraId="37A1FC1C"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Pipeline Tariff (₹/MT) – TOP D</w:t>
            </w:r>
          </w:p>
        </w:tc>
        <w:tc>
          <w:tcPr>
            <w:tcW w:w="565" w:type="pct"/>
            <w:shd w:val="clear" w:color="auto" w:fill="auto"/>
            <w:vAlign w:val="center"/>
          </w:tcPr>
          <w:p w14:paraId="5C519F47"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5" w:type="pct"/>
            <w:shd w:val="clear" w:color="auto" w:fill="auto"/>
            <w:vAlign w:val="center"/>
          </w:tcPr>
          <w:p w14:paraId="42585038"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6" w:type="pct"/>
            <w:shd w:val="clear" w:color="auto" w:fill="auto"/>
            <w:vAlign w:val="center"/>
          </w:tcPr>
          <w:p w14:paraId="510A3D9F"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1463.10</w:t>
            </w:r>
          </w:p>
        </w:tc>
        <w:tc>
          <w:tcPr>
            <w:tcW w:w="646" w:type="pct"/>
            <w:shd w:val="clear" w:color="auto" w:fill="auto"/>
            <w:vAlign w:val="center"/>
          </w:tcPr>
          <w:p w14:paraId="10EAEF55"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646" w:type="pct"/>
            <w:shd w:val="clear" w:color="auto" w:fill="auto"/>
            <w:vAlign w:val="center"/>
          </w:tcPr>
          <w:p w14:paraId="1FEC38F1"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r>
    </w:tbl>
    <w:p w14:paraId="7BB91F84" w14:textId="77777777" w:rsidR="00C90AAE" w:rsidRPr="006D2651" w:rsidRDefault="00C90AAE" w:rsidP="00C90AAE">
      <w:pPr>
        <w:rPr>
          <w:rFonts w:ascii="Times New Roman" w:hAnsi="Times New Roman"/>
          <w:sz w:val="20"/>
          <w:szCs w:val="20"/>
          <w:lang w:val="en-GB"/>
        </w:rPr>
      </w:pPr>
      <w:r w:rsidRPr="006D2651">
        <w:rPr>
          <w:rFonts w:ascii="Times New Roman" w:hAnsi="Times New Roman"/>
          <w:sz w:val="20"/>
          <w:szCs w:val="20"/>
        </w:rPr>
        <w:t xml:space="preserve">(*) The Railway tariff of FY2018 has been considered as same that of FY 2018 for convenience purpose though said railway tariff was revised w.e.f. 01.11.2018 </w:t>
      </w:r>
    </w:p>
    <w:tbl>
      <w:tblPr>
        <w:tblW w:w="5127" w:type="pct"/>
        <w:tblLook w:val="04A0" w:firstRow="1" w:lastRow="0" w:firstColumn="1" w:lastColumn="0" w:noHBand="0" w:noVBand="1"/>
      </w:tblPr>
      <w:tblGrid>
        <w:gridCol w:w="3552"/>
        <w:gridCol w:w="2013"/>
        <w:gridCol w:w="2013"/>
        <w:gridCol w:w="2009"/>
      </w:tblGrid>
      <w:tr w:rsidR="00C90AAE" w:rsidRPr="006D2651" w14:paraId="636434D6"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183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lang w:val="en-GB"/>
              </w:rPr>
              <w:t>Year</w:t>
            </w:r>
          </w:p>
        </w:tc>
        <w:tc>
          <w:tcPr>
            <w:tcW w:w="1050" w:type="pct"/>
            <w:tcBorders>
              <w:top w:val="single" w:sz="4" w:space="0" w:color="auto"/>
              <w:left w:val="nil"/>
              <w:bottom w:val="single" w:sz="4" w:space="0" w:color="auto"/>
              <w:right w:val="single" w:sz="4" w:space="0" w:color="auto"/>
            </w:tcBorders>
            <w:shd w:val="clear" w:color="auto" w:fill="auto"/>
            <w:vAlign w:val="center"/>
          </w:tcPr>
          <w:p w14:paraId="46DBF8C6" w14:textId="77777777" w:rsidR="00C90AAE" w:rsidRPr="006D2651" w:rsidRDefault="00C90AAE" w:rsidP="00A10F1B">
            <w:pPr>
              <w:jc w:val="center"/>
              <w:rPr>
                <w:rFonts w:ascii="Times New Roman" w:hAnsi="Times New Roman"/>
                <w:b/>
                <w:bCs/>
                <w:sz w:val="20"/>
                <w:szCs w:val="20"/>
              </w:rPr>
            </w:pPr>
            <w:r w:rsidRPr="006D2651">
              <w:rPr>
                <w:rFonts w:ascii="Times New Roman" w:hAnsi="Times New Roman"/>
                <w:b/>
                <w:bCs/>
                <w:sz w:val="20"/>
                <w:szCs w:val="20"/>
              </w:rPr>
              <w:t>FY 2022</w:t>
            </w:r>
          </w:p>
        </w:tc>
        <w:tc>
          <w:tcPr>
            <w:tcW w:w="1050" w:type="pct"/>
            <w:tcBorders>
              <w:top w:val="single" w:sz="4" w:space="0" w:color="auto"/>
              <w:left w:val="nil"/>
              <w:bottom w:val="single" w:sz="4" w:space="0" w:color="auto"/>
              <w:right w:val="single" w:sz="4" w:space="0" w:color="auto"/>
            </w:tcBorders>
            <w:shd w:val="clear" w:color="auto" w:fill="auto"/>
            <w:vAlign w:val="center"/>
          </w:tcPr>
          <w:p w14:paraId="7FE3B01F" w14:textId="77777777" w:rsidR="00C90AAE" w:rsidRPr="006D2651" w:rsidRDefault="00C90AAE" w:rsidP="00A10F1B">
            <w:pPr>
              <w:jc w:val="center"/>
              <w:rPr>
                <w:rFonts w:ascii="Times New Roman" w:hAnsi="Times New Roman"/>
                <w:b/>
                <w:bCs/>
                <w:sz w:val="20"/>
                <w:szCs w:val="20"/>
              </w:rPr>
            </w:pPr>
            <w:r w:rsidRPr="006D2651">
              <w:rPr>
                <w:rFonts w:ascii="Times New Roman" w:hAnsi="Times New Roman"/>
                <w:b/>
                <w:bCs/>
                <w:sz w:val="20"/>
                <w:szCs w:val="20"/>
              </w:rPr>
              <w:t>FY 2023</w:t>
            </w:r>
          </w:p>
        </w:tc>
        <w:tc>
          <w:tcPr>
            <w:tcW w:w="1049" w:type="pct"/>
            <w:tcBorders>
              <w:top w:val="single" w:sz="4" w:space="0" w:color="auto"/>
              <w:left w:val="nil"/>
              <w:bottom w:val="single" w:sz="4" w:space="0" w:color="auto"/>
              <w:right w:val="single" w:sz="4" w:space="0" w:color="auto"/>
            </w:tcBorders>
            <w:shd w:val="clear" w:color="auto" w:fill="auto"/>
            <w:vAlign w:val="center"/>
          </w:tcPr>
          <w:p w14:paraId="5CE8A08D" w14:textId="77777777" w:rsidR="00C90AAE" w:rsidRPr="006D2651" w:rsidRDefault="00C90AAE" w:rsidP="00A10F1B">
            <w:pPr>
              <w:jc w:val="center"/>
              <w:rPr>
                <w:rFonts w:ascii="Times New Roman" w:hAnsi="Times New Roman"/>
                <w:b/>
                <w:bCs/>
                <w:sz w:val="20"/>
                <w:szCs w:val="20"/>
              </w:rPr>
            </w:pPr>
            <w:r w:rsidRPr="006D2651">
              <w:rPr>
                <w:rFonts w:ascii="Times New Roman" w:hAnsi="Times New Roman"/>
                <w:b/>
                <w:bCs/>
                <w:sz w:val="20"/>
                <w:szCs w:val="20"/>
              </w:rPr>
              <w:t>FY 2024</w:t>
            </w:r>
          </w:p>
        </w:tc>
      </w:tr>
      <w:tr w:rsidR="00C90AAE" w:rsidRPr="006D2651" w14:paraId="2332AAB6"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BDA00"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B</w:t>
            </w:r>
          </w:p>
        </w:tc>
        <w:tc>
          <w:tcPr>
            <w:tcW w:w="1050" w:type="pct"/>
            <w:tcBorders>
              <w:top w:val="nil"/>
              <w:left w:val="nil"/>
              <w:bottom w:val="single" w:sz="4" w:space="0" w:color="auto"/>
              <w:right w:val="single" w:sz="4" w:space="0" w:color="auto"/>
            </w:tcBorders>
            <w:vAlign w:val="center"/>
          </w:tcPr>
          <w:p w14:paraId="76F6E6D2"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c>
          <w:tcPr>
            <w:tcW w:w="1050" w:type="pct"/>
            <w:tcBorders>
              <w:top w:val="nil"/>
              <w:left w:val="nil"/>
              <w:bottom w:val="single" w:sz="4" w:space="0" w:color="auto"/>
              <w:right w:val="single" w:sz="4" w:space="0" w:color="auto"/>
            </w:tcBorders>
            <w:vAlign w:val="center"/>
          </w:tcPr>
          <w:p w14:paraId="790208A9" w14:textId="77777777" w:rsidR="00C90AAE" w:rsidRPr="006D2651" w:rsidRDefault="00C90AAE" w:rsidP="00A10F1B">
            <w:pPr>
              <w:jc w:val="center"/>
              <w:rPr>
                <w:rFonts w:ascii="Times New Roman" w:hAnsi="Times New Roman"/>
                <w:sz w:val="20"/>
                <w:szCs w:val="20"/>
                <w:lang w:val="en-GB"/>
              </w:rPr>
            </w:pPr>
            <w:r w:rsidRPr="006D2651">
              <w:rPr>
                <w:rFonts w:ascii="Times New Roman" w:hAnsi="Times New Roman"/>
                <w:sz w:val="20"/>
                <w:szCs w:val="20"/>
              </w:rPr>
              <w:t>1,353.50</w:t>
            </w:r>
          </w:p>
        </w:tc>
        <w:tc>
          <w:tcPr>
            <w:tcW w:w="1049" w:type="pct"/>
            <w:tcBorders>
              <w:top w:val="nil"/>
              <w:left w:val="nil"/>
              <w:bottom w:val="single" w:sz="4" w:space="0" w:color="auto"/>
              <w:right w:val="single" w:sz="4" w:space="0" w:color="auto"/>
            </w:tcBorders>
            <w:vAlign w:val="center"/>
          </w:tcPr>
          <w:p w14:paraId="5E133DB1"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1,353.50</w:t>
            </w:r>
          </w:p>
        </w:tc>
      </w:tr>
      <w:tr w:rsidR="00C90AAE" w:rsidRPr="006D2651" w14:paraId="1D48717F"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BC1CF"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C</w:t>
            </w:r>
          </w:p>
        </w:tc>
        <w:tc>
          <w:tcPr>
            <w:tcW w:w="1050" w:type="pct"/>
            <w:tcBorders>
              <w:top w:val="nil"/>
              <w:left w:val="nil"/>
              <w:bottom w:val="single" w:sz="4" w:space="0" w:color="auto"/>
              <w:right w:val="single" w:sz="4" w:space="0" w:color="auto"/>
            </w:tcBorders>
            <w:vAlign w:val="center"/>
          </w:tcPr>
          <w:p w14:paraId="48D71D28"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1050" w:type="pct"/>
            <w:tcBorders>
              <w:top w:val="nil"/>
              <w:left w:val="nil"/>
              <w:bottom w:val="single" w:sz="4" w:space="0" w:color="auto"/>
              <w:right w:val="single" w:sz="4" w:space="0" w:color="auto"/>
            </w:tcBorders>
            <w:vAlign w:val="center"/>
          </w:tcPr>
          <w:p w14:paraId="7F866424"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1049" w:type="pct"/>
            <w:tcBorders>
              <w:top w:val="nil"/>
              <w:left w:val="nil"/>
              <w:bottom w:val="single" w:sz="4" w:space="0" w:color="auto"/>
              <w:right w:val="single" w:sz="4" w:space="0" w:color="auto"/>
            </w:tcBorders>
            <w:vAlign w:val="center"/>
          </w:tcPr>
          <w:p w14:paraId="61BCA66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r>
      <w:tr w:rsidR="00C90AAE" w:rsidRPr="006D2651" w14:paraId="3E760606"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6D1D3"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Railway Freight (₹/MT) – TOP D</w:t>
            </w:r>
          </w:p>
        </w:tc>
        <w:tc>
          <w:tcPr>
            <w:tcW w:w="1050" w:type="pct"/>
            <w:tcBorders>
              <w:top w:val="nil"/>
              <w:left w:val="nil"/>
              <w:bottom w:val="single" w:sz="4" w:space="0" w:color="auto"/>
              <w:right w:val="single" w:sz="4" w:space="0" w:color="auto"/>
            </w:tcBorders>
            <w:vAlign w:val="center"/>
          </w:tcPr>
          <w:p w14:paraId="751C90CC"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1050" w:type="pct"/>
            <w:tcBorders>
              <w:top w:val="nil"/>
              <w:left w:val="nil"/>
              <w:bottom w:val="single" w:sz="4" w:space="0" w:color="auto"/>
              <w:right w:val="single" w:sz="4" w:space="0" w:color="auto"/>
            </w:tcBorders>
            <w:vAlign w:val="center"/>
          </w:tcPr>
          <w:p w14:paraId="63EBD9C5"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1049" w:type="pct"/>
            <w:tcBorders>
              <w:top w:val="nil"/>
              <w:left w:val="nil"/>
              <w:bottom w:val="single" w:sz="4" w:space="0" w:color="auto"/>
              <w:right w:val="single" w:sz="4" w:space="0" w:color="auto"/>
            </w:tcBorders>
            <w:vAlign w:val="center"/>
          </w:tcPr>
          <w:p w14:paraId="6A0E378D"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r>
      <w:tr w:rsidR="00C90AAE" w:rsidRPr="006D2651" w14:paraId="5D3A2CE3"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D9F0"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lastRenderedPageBreak/>
              <w:t>Pipeline Tariff (₹/MT) – TOP B</w:t>
            </w:r>
          </w:p>
        </w:tc>
        <w:tc>
          <w:tcPr>
            <w:tcW w:w="1050" w:type="pct"/>
            <w:tcBorders>
              <w:top w:val="single" w:sz="4" w:space="0" w:color="auto"/>
              <w:left w:val="nil"/>
              <w:bottom w:val="single" w:sz="4" w:space="0" w:color="auto"/>
              <w:right w:val="single" w:sz="4" w:space="0" w:color="auto"/>
            </w:tcBorders>
            <w:shd w:val="clear" w:color="auto" w:fill="auto"/>
            <w:vAlign w:val="center"/>
          </w:tcPr>
          <w:p w14:paraId="1DA2AA2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1,353.50</w:t>
            </w:r>
          </w:p>
        </w:tc>
        <w:tc>
          <w:tcPr>
            <w:tcW w:w="1050" w:type="pct"/>
            <w:tcBorders>
              <w:top w:val="single" w:sz="4" w:space="0" w:color="auto"/>
              <w:left w:val="nil"/>
              <w:bottom w:val="single" w:sz="4" w:space="0" w:color="auto"/>
              <w:right w:val="single" w:sz="4" w:space="0" w:color="auto"/>
            </w:tcBorders>
            <w:shd w:val="clear" w:color="auto" w:fill="auto"/>
            <w:vAlign w:val="center"/>
          </w:tcPr>
          <w:p w14:paraId="0466451B"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1,353.50</w:t>
            </w:r>
          </w:p>
        </w:tc>
        <w:tc>
          <w:tcPr>
            <w:tcW w:w="1049" w:type="pct"/>
            <w:tcBorders>
              <w:top w:val="single" w:sz="4" w:space="0" w:color="auto"/>
              <w:left w:val="nil"/>
              <w:bottom w:val="single" w:sz="4" w:space="0" w:color="auto"/>
              <w:right w:val="single" w:sz="4" w:space="0" w:color="auto"/>
            </w:tcBorders>
            <w:vAlign w:val="center"/>
          </w:tcPr>
          <w:p w14:paraId="6275D35B"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1,353.50</w:t>
            </w:r>
          </w:p>
        </w:tc>
      </w:tr>
      <w:tr w:rsidR="00C90AAE" w:rsidRPr="006D2651" w14:paraId="1ACF75C9"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8F0B6"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Pipeline Tariff (₹/MT) – TOP C</w:t>
            </w:r>
          </w:p>
        </w:tc>
        <w:tc>
          <w:tcPr>
            <w:tcW w:w="1050" w:type="pct"/>
            <w:tcBorders>
              <w:top w:val="single" w:sz="4" w:space="0" w:color="auto"/>
              <w:left w:val="nil"/>
              <w:bottom w:val="single" w:sz="4" w:space="0" w:color="auto"/>
              <w:right w:val="single" w:sz="4" w:space="0" w:color="auto"/>
            </w:tcBorders>
            <w:shd w:val="clear" w:color="auto" w:fill="auto"/>
            <w:vAlign w:val="center"/>
          </w:tcPr>
          <w:p w14:paraId="6C972D5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1050" w:type="pct"/>
            <w:tcBorders>
              <w:top w:val="single" w:sz="4" w:space="0" w:color="auto"/>
              <w:left w:val="nil"/>
              <w:bottom w:val="single" w:sz="4" w:space="0" w:color="auto"/>
              <w:right w:val="single" w:sz="4" w:space="0" w:color="auto"/>
            </w:tcBorders>
            <w:shd w:val="clear" w:color="auto" w:fill="auto"/>
            <w:vAlign w:val="center"/>
          </w:tcPr>
          <w:p w14:paraId="7EB3376C"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c>
          <w:tcPr>
            <w:tcW w:w="1049" w:type="pct"/>
            <w:tcBorders>
              <w:top w:val="single" w:sz="4" w:space="0" w:color="auto"/>
              <w:left w:val="nil"/>
              <w:bottom w:val="single" w:sz="4" w:space="0" w:color="auto"/>
              <w:right w:val="single" w:sz="4" w:space="0" w:color="auto"/>
            </w:tcBorders>
            <w:vAlign w:val="center"/>
          </w:tcPr>
          <w:p w14:paraId="3C621BC0"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1512.10</w:t>
            </w:r>
          </w:p>
        </w:tc>
      </w:tr>
      <w:tr w:rsidR="00C90AAE" w:rsidRPr="006D2651" w14:paraId="2C9751D1" w14:textId="77777777" w:rsidTr="00A10F1B">
        <w:trPr>
          <w:trHeight w:val="208"/>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65C1D" w14:textId="77777777" w:rsidR="00C90AAE" w:rsidRPr="006D2651" w:rsidRDefault="00C90AAE" w:rsidP="00A10F1B">
            <w:pPr>
              <w:rPr>
                <w:rFonts w:ascii="Times New Roman" w:hAnsi="Times New Roman"/>
                <w:sz w:val="20"/>
                <w:szCs w:val="20"/>
                <w:lang w:val="en-GB"/>
              </w:rPr>
            </w:pPr>
            <w:r w:rsidRPr="006D2651">
              <w:rPr>
                <w:rFonts w:ascii="Times New Roman" w:hAnsi="Times New Roman"/>
                <w:sz w:val="20"/>
                <w:szCs w:val="20"/>
                <w:lang w:val="en-GB"/>
              </w:rPr>
              <w:t>Pipeline Tariff (₹/MT) – TOP D</w:t>
            </w:r>
          </w:p>
        </w:tc>
        <w:tc>
          <w:tcPr>
            <w:tcW w:w="1050" w:type="pct"/>
            <w:tcBorders>
              <w:top w:val="single" w:sz="4" w:space="0" w:color="auto"/>
              <w:left w:val="nil"/>
              <w:bottom w:val="single" w:sz="4" w:space="0" w:color="auto"/>
              <w:right w:val="single" w:sz="4" w:space="0" w:color="auto"/>
            </w:tcBorders>
            <w:shd w:val="clear" w:color="auto" w:fill="auto"/>
            <w:vAlign w:val="center"/>
          </w:tcPr>
          <w:p w14:paraId="576891EF"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1050" w:type="pct"/>
            <w:tcBorders>
              <w:top w:val="single" w:sz="4" w:space="0" w:color="auto"/>
              <w:left w:val="nil"/>
              <w:bottom w:val="single" w:sz="4" w:space="0" w:color="auto"/>
              <w:right w:val="single" w:sz="4" w:space="0" w:color="auto"/>
            </w:tcBorders>
            <w:shd w:val="clear" w:color="auto" w:fill="auto"/>
            <w:vAlign w:val="center"/>
          </w:tcPr>
          <w:p w14:paraId="61B37003"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c>
          <w:tcPr>
            <w:tcW w:w="1049" w:type="pct"/>
            <w:tcBorders>
              <w:top w:val="single" w:sz="4" w:space="0" w:color="auto"/>
              <w:left w:val="nil"/>
              <w:bottom w:val="single" w:sz="4" w:space="0" w:color="auto"/>
              <w:right w:val="single" w:sz="4" w:space="0" w:color="auto"/>
            </w:tcBorders>
            <w:vAlign w:val="center"/>
          </w:tcPr>
          <w:p w14:paraId="3BDD1C66" w14:textId="77777777" w:rsidR="00C90AAE" w:rsidRPr="006D2651" w:rsidRDefault="00C90AAE" w:rsidP="00A10F1B">
            <w:pPr>
              <w:jc w:val="center"/>
              <w:rPr>
                <w:rFonts w:ascii="Times New Roman" w:hAnsi="Times New Roman"/>
                <w:sz w:val="20"/>
                <w:szCs w:val="20"/>
              </w:rPr>
            </w:pPr>
            <w:r w:rsidRPr="006D2651">
              <w:rPr>
                <w:rFonts w:ascii="Times New Roman" w:hAnsi="Times New Roman"/>
                <w:sz w:val="20"/>
                <w:szCs w:val="20"/>
              </w:rPr>
              <w:t>1591.10</w:t>
            </w:r>
          </w:p>
        </w:tc>
      </w:tr>
    </w:tbl>
    <w:p w14:paraId="442A93D2" w14:textId="77777777" w:rsidR="00C90AAE" w:rsidRPr="00C90AAE" w:rsidRDefault="00C90AAE" w:rsidP="00C90AAE">
      <w:pPr>
        <w:spacing w:after="80"/>
        <w:jc w:val="both"/>
        <w:rPr>
          <w:rFonts w:ascii="Times New Roman" w:hAnsi="Times New Roman"/>
          <w:sz w:val="2"/>
          <w:szCs w:val="2"/>
        </w:rPr>
      </w:pPr>
    </w:p>
    <w:p w14:paraId="2C41B0E6" w14:textId="77777777" w:rsidR="00C34994" w:rsidRDefault="00C34994" w:rsidP="00C90AAE">
      <w:pPr>
        <w:spacing w:after="80"/>
        <w:jc w:val="both"/>
        <w:rPr>
          <w:rFonts w:ascii="Times New Roman" w:hAnsi="Times New Roman"/>
          <w:sz w:val="20"/>
          <w:szCs w:val="20"/>
        </w:rPr>
      </w:pPr>
    </w:p>
    <w:p w14:paraId="4F532604" w14:textId="77777777" w:rsidR="00C34994" w:rsidRDefault="00C34994" w:rsidP="00C90AAE">
      <w:pPr>
        <w:spacing w:after="80"/>
        <w:jc w:val="both"/>
        <w:rPr>
          <w:rFonts w:ascii="Times New Roman" w:hAnsi="Times New Roman"/>
          <w:sz w:val="20"/>
          <w:szCs w:val="20"/>
        </w:rPr>
      </w:pPr>
    </w:p>
    <w:p w14:paraId="4B60A77B" w14:textId="77777777" w:rsidR="00C34994" w:rsidRDefault="00C34994" w:rsidP="00C90AAE">
      <w:pPr>
        <w:spacing w:after="80"/>
        <w:jc w:val="both"/>
        <w:rPr>
          <w:rFonts w:ascii="Times New Roman" w:hAnsi="Times New Roman"/>
          <w:sz w:val="20"/>
          <w:szCs w:val="20"/>
        </w:rPr>
      </w:pPr>
    </w:p>
    <w:p w14:paraId="7D24B9C5" w14:textId="77777777" w:rsidR="00C34994" w:rsidRDefault="00C34994" w:rsidP="00C90AAE">
      <w:pPr>
        <w:spacing w:after="80"/>
        <w:jc w:val="both"/>
        <w:rPr>
          <w:rFonts w:ascii="Times New Roman" w:hAnsi="Times New Roman"/>
          <w:sz w:val="20"/>
          <w:szCs w:val="20"/>
        </w:rPr>
      </w:pPr>
    </w:p>
    <w:p w14:paraId="4AC318E1" w14:textId="77777777" w:rsidR="00C34994" w:rsidRDefault="00C34994" w:rsidP="00C90AAE">
      <w:pPr>
        <w:spacing w:after="80"/>
        <w:jc w:val="both"/>
        <w:rPr>
          <w:rFonts w:ascii="Times New Roman" w:hAnsi="Times New Roman"/>
          <w:sz w:val="20"/>
          <w:szCs w:val="20"/>
        </w:rPr>
      </w:pPr>
    </w:p>
    <w:p w14:paraId="7CB93E50" w14:textId="65AA2D31" w:rsidR="00C34994"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Cash flows for these 8 years are as per the table below:</w:t>
      </w:r>
    </w:p>
    <w:tbl>
      <w:tblPr>
        <w:tblW w:w="10290" w:type="dxa"/>
        <w:tblInd w:w="-5" w:type="dxa"/>
        <w:tblLook w:val="04A0" w:firstRow="1" w:lastRow="0" w:firstColumn="1" w:lastColumn="0" w:noHBand="0" w:noVBand="1"/>
      </w:tblPr>
      <w:tblGrid>
        <w:gridCol w:w="1418"/>
        <w:gridCol w:w="1350"/>
        <w:gridCol w:w="1129"/>
        <w:gridCol w:w="740"/>
        <w:gridCol w:w="718"/>
        <w:gridCol w:w="830"/>
        <w:gridCol w:w="830"/>
        <w:gridCol w:w="818"/>
        <w:gridCol w:w="819"/>
        <w:gridCol w:w="819"/>
        <w:gridCol w:w="819"/>
      </w:tblGrid>
      <w:tr w:rsidR="00C90AAE" w:rsidRPr="006D2651" w14:paraId="48B15895" w14:textId="77777777" w:rsidTr="00A10F1B">
        <w:trPr>
          <w:trHeight w:val="237"/>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3E5FB"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305" w:type="dxa"/>
            <w:tcBorders>
              <w:top w:val="single" w:sz="4" w:space="0" w:color="auto"/>
              <w:left w:val="nil"/>
              <w:bottom w:val="single" w:sz="4" w:space="0" w:color="auto"/>
              <w:right w:val="single" w:sz="4" w:space="0" w:color="auto"/>
            </w:tcBorders>
            <w:shd w:val="clear" w:color="auto" w:fill="auto"/>
            <w:vAlign w:val="center"/>
          </w:tcPr>
          <w:p w14:paraId="323AAA0C"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A5C5D"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 -1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FD612A2"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Y1</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4295A931"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Y2</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02889C90"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Y3</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4DEAF908"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Y4</w:t>
            </w:r>
          </w:p>
        </w:tc>
        <w:tc>
          <w:tcPr>
            <w:tcW w:w="830" w:type="dxa"/>
            <w:tcBorders>
              <w:top w:val="single" w:sz="4" w:space="0" w:color="auto"/>
              <w:left w:val="nil"/>
              <w:bottom w:val="single" w:sz="4" w:space="0" w:color="auto"/>
              <w:right w:val="single" w:sz="4" w:space="0" w:color="auto"/>
            </w:tcBorders>
          </w:tcPr>
          <w:p w14:paraId="4A609501"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Y5</w:t>
            </w:r>
          </w:p>
        </w:tc>
        <w:tc>
          <w:tcPr>
            <w:tcW w:w="830" w:type="dxa"/>
            <w:tcBorders>
              <w:top w:val="single" w:sz="4" w:space="0" w:color="auto"/>
              <w:left w:val="nil"/>
              <w:bottom w:val="single" w:sz="4" w:space="0" w:color="auto"/>
              <w:right w:val="single" w:sz="4" w:space="0" w:color="auto"/>
            </w:tcBorders>
          </w:tcPr>
          <w:p w14:paraId="764123D2"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Y6</w:t>
            </w:r>
          </w:p>
        </w:tc>
        <w:tc>
          <w:tcPr>
            <w:tcW w:w="830" w:type="dxa"/>
            <w:tcBorders>
              <w:top w:val="single" w:sz="4" w:space="0" w:color="auto"/>
              <w:left w:val="nil"/>
              <w:bottom w:val="single" w:sz="4" w:space="0" w:color="auto"/>
              <w:right w:val="single" w:sz="4" w:space="0" w:color="auto"/>
            </w:tcBorders>
          </w:tcPr>
          <w:p w14:paraId="3C083509"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Y7</w:t>
            </w:r>
          </w:p>
        </w:tc>
        <w:tc>
          <w:tcPr>
            <w:tcW w:w="830" w:type="dxa"/>
            <w:tcBorders>
              <w:top w:val="single" w:sz="4" w:space="0" w:color="auto"/>
              <w:left w:val="nil"/>
              <w:bottom w:val="single" w:sz="4" w:space="0" w:color="auto"/>
              <w:right w:val="single" w:sz="4" w:space="0" w:color="auto"/>
            </w:tcBorders>
          </w:tcPr>
          <w:p w14:paraId="21E77CF4"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Y8</w:t>
            </w:r>
          </w:p>
        </w:tc>
      </w:tr>
      <w:tr w:rsidR="00C90AAE" w:rsidRPr="006D2651" w14:paraId="144654B9"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A031F5"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Inflow</w:t>
            </w:r>
          </w:p>
        </w:tc>
        <w:tc>
          <w:tcPr>
            <w:tcW w:w="1305" w:type="dxa"/>
            <w:tcBorders>
              <w:top w:val="nil"/>
              <w:left w:val="single" w:sz="4" w:space="0" w:color="auto"/>
              <w:bottom w:val="single" w:sz="4" w:space="0" w:color="auto"/>
              <w:right w:val="single" w:sz="4" w:space="0" w:color="auto"/>
            </w:tcBorders>
            <w:shd w:val="clear" w:color="auto" w:fill="auto"/>
            <w:vAlign w:val="center"/>
          </w:tcPr>
          <w:p w14:paraId="5AA9581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DA4A31A"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2011D9E4"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718" w:type="dxa"/>
            <w:tcBorders>
              <w:top w:val="nil"/>
              <w:left w:val="nil"/>
              <w:bottom w:val="single" w:sz="4" w:space="0" w:color="auto"/>
              <w:right w:val="single" w:sz="4" w:space="0" w:color="auto"/>
            </w:tcBorders>
            <w:shd w:val="clear" w:color="auto" w:fill="auto"/>
            <w:noWrap/>
            <w:vAlign w:val="center"/>
            <w:hideMark/>
          </w:tcPr>
          <w:p w14:paraId="67E0B134"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31FB0CA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0720562E"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tcPr>
          <w:p w14:paraId="7E96E67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tcPr>
          <w:p w14:paraId="7E13850B"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tcPr>
          <w:p w14:paraId="4DE3EAE9"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tcPr>
          <w:p w14:paraId="3BB7C67C"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0BE80791"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92CF03B"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Revenues (₹/ crore)</w:t>
            </w:r>
          </w:p>
        </w:tc>
        <w:tc>
          <w:tcPr>
            <w:tcW w:w="1305" w:type="dxa"/>
            <w:tcBorders>
              <w:top w:val="nil"/>
              <w:left w:val="single" w:sz="4" w:space="0" w:color="auto"/>
              <w:bottom w:val="single" w:sz="4" w:space="0" w:color="auto"/>
              <w:right w:val="single" w:sz="4" w:space="0" w:color="auto"/>
            </w:tcBorders>
            <w:shd w:val="clear" w:color="auto" w:fill="auto"/>
            <w:vAlign w:val="center"/>
          </w:tcPr>
          <w:p w14:paraId="7C08FC0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A* Volume</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FB93DE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0089C5E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81.96</w:t>
            </w:r>
          </w:p>
        </w:tc>
        <w:tc>
          <w:tcPr>
            <w:tcW w:w="718" w:type="dxa"/>
            <w:tcBorders>
              <w:top w:val="nil"/>
              <w:left w:val="nil"/>
              <w:bottom w:val="single" w:sz="4" w:space="0" w:color="auto"/>
              <w:right w:val="single" w:sz="4" w:space="0" w:color="auto"/>
            </w:tcBorders>
            <w:shd w:val="clear" w:color="auto" w:fill="auto"/>
            <w:noWrap/>
            <w:vAlign w:val="center"/>
            <w:hideMark/>
          </w:tcPr>
          <w:p w14:paraId="40790A4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95.62</w:t>
            </w:r>
          </w:p>
        </w:tc>
        <w:tc>
          <w:tcPr>
            <w:tcW w:w="830" w:type="dxa"/>
            <w:tcBorders>
              <w:top w:val="nil"/>
              <w:left w:val="nil"/>
              <w:bottom w:val="single" w:sz="4" w:space="0" w:color="auto"/>
              <w:right w:val="single" w:sz="4" w:space="0" w:color="auto"/>
            </w:tcBorders>
            <w:shd w:val="clear" w:color="auto" w:fill="auto"/>
            <w:noWrap/>
            <w:vAlign w:val="center"/>
            <w:hideMark/>
          </w:tcPr>
          <w:p w14:paraId="7E8D0356"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109.29</w:t>
            </w:r>
          </w:p>
        </w:tc>
        <w:tc>
          <w:tcPr>
            <w:tcW w:w="830" w:type="dxa"/>
            <w:tcBorders>
              <w:top w:val="nil"/>
              <w:left w:val="nil"/>
              <w:bottom w:val="single" w:sz="4" w:space="0" w:color="auto"/>
              <w:right w:val="single" w:sz="4" w:space="0" w:color="auto"/>
            </w:tcBorders>
            <w:shd w:val="clear" w:color="auto" w:fill="auto"/>
            <w:noWrap/>
            <w:vAlign w:val="center"/>
            <w:hideMark/>
          </w:tcPr>
          <w:p w14:paraId="02C5FDF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133.70</w:t>
            </w:r>
          </w:p>
        </w:tc>
        <w:tc>
          <w:tcPr>
            <w:tcW w:w="830" w:type="dxa"/>
            <w:tcBorders>
              <w:top w:val="nil"/>
              <w:left w:val="nil"/>
              <w:bottom w:val="single" w:sz="4" w:space="0" w:color="auto"/>
              <w:right w:val="single" w:sz="4" w:space="0" w:color="auto"/>
            </w:tcBorders>
            <w:vAlign w:val="center"/>
          </w:tcPr>
          <w:p w14:paraId="00ACD32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148.56</w:t>
            </w:r>
          </w:p>
        </w:tc>
        <w:tc>
          <w:tcPr>
            <w:tcW w:w="830" w:type="dxa"/>
            <w:tcBorders>
              <w:top w:val="nil"/>
              <w:left w:val="nil"/>
              <w:bottom w:val="single" w:sz="4" w:space="0" w:color="auto"/>
              <w:right w:val="single" w:sz="4" w:space="0" w:color="auto"/>
            </w:tcBorders>
            <w:vAlign w:val="center"/>
          </w:tcPr>
          <w:p w14:paraId="012D8AF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178.27</w:t>
            </w:r>
          </w:p>
        </w:tc>
        <w:tc>
          <w:tcPr>
            <w:tcW w:w="830" w:type="dxa"/>
            <w:tcBorders>
              <w:top w:val="nil"/>
              <w:left w:val="nil"/>
              <w:bottom w:val="single" w:sz="4" w:space="0" w:color="auto"/>
              <w:right w:val="single" w:sz="4" w:space="0" w:color="auto"/>
            </w:tcBorders>
            <w:vAlign w:val="center"/>
          </w:tcPr>
          <w:p w14:paraId="4B39D42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207.98</w:t>
            </w:r>
          </w:p>
        </w:tc>
        <w:tc>
          <w:tcPr>
            <w:tcW w:w="830" w:type="dxa"/>
            <w:tcBorders>
              <w:top w:val="nil"/>
              <w:left w:val="nil"/>
              <w:bottom w:val="single" w:sz="4" w:space="0" w:color="auto"/>
              <w:right w:val="single" w:sz="4" w:space="0" w:color="auto"/>
            </w:tcBorders>
            <w:vAlign w:val="center"/>
          </w:tcPr>
          <w:p w14:paraId="048C0D5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237.69</w:t>
            </w:r>
          </w:p>
        </w:tc>
      </w:tr>
      <w:tr w:rsidR="00C90AAE" w:rsidRPr="006D2651" w14:paraId="2EA95491"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76F40E" w14:textId="77777777" w:rsidR="00C90AAE" w:rsidRPr="006D2651" w:rsidRDefault="00C90AAE" w:rsidP="00A10F1B">
            <w:pPr>
              <w:spacing w:after="0"/>
              <w:rPr>
                <w:rFonts w:ascii="Times New Roman" w:eastAsia="Times New Roman" w:hAnsi="Times New Roman"/>
                <w:b/>
                <w:bCs/>
                <w:color w:val="000000"/>
                <w:sz w:val="20"/>
                <w:szCs w:val="20"/>
              </w:rPr>
            </w:pPr>
            <w:r w:rsidRPr="006D2651">
              <w:rPr>
                <w:rFonts w:ascii="Times New Roman" w:eastAsia="Times New Roman" w:hAnsi="Times New Roman"/>
                <w:b/>
                <w:bCs/>
                <w:color w:val="000000"/>
                <w:sz w:val="20"/>
                <w:szCs w:val="20"/>
              </w:rPr>
              <w:t>Cash Outflow</w:t>
            </w:r>
          </w:p>
        </w:tc>
        <w:tc>
          <w:tcPr>
            <w:tcW w:w="1305" w:type="dxa"/>
            <w:tcBorders>
              <w:top w:val="nil"/>
              <w:left w:val="single" w:sz="4" w:space="0" w:color="auto"/>
              <w:bottom w:val="single" w:sz="4" w:space="0" w:color="auto"/>
              <w:right w:val="single" w:sz="4" w:space="0" w:color="auto"/>
            </w:tcBorders>
            <w:shd w:val="clear" w:color="auto" w:fill="auto"/>
            <w:vAlign w:val="center"/>
          </w:tcPr>
          <w:p w14:paraId="717DA7A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C94D6E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750643A5"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718" w:type="dxa"/>
            <w:tcBorders>
              <w:top w:val="nil"/>
              <w:left w:val="nil"/>
              <w:bottom w:val="single" w:sz="4" w:space="0" w:color="auto"/>
              <w:right w:val="single" w:sz="4" w:space="0" w:color="auto"/>
            </w:tcBorders>
            <w:shd w:val="clear" w:color="auto" w:fill="auto"/>
            <w:noWrap/>
            <w:vAlign w:val="center"/>
            <w:hideMark/>
          </w:tcPr>
          <w:p w14:paraId="0C5E1365"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101AC650"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6E369C8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vAlign w:val="center"/>
          </w:tcPr>
          <w:p w14:paraId="401F494C"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vAlign w:val="center"/>
          </w:tcPr>
          <w:p w14:paraId="0B4BBE4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vAlign w:val="center"/>
          </w:tcPr>
          <w:p w14:paraId="73CE8EB0"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830" w:type="dxa"/>
            <w:tcBorders>
              <w:top w:val="nil"/>
              <w:left w:val="nil"/>
              <w:bottom w:val="single" w:sz="4" w:space="0" w:color="auto"/>
              <w:right w:val="single" w:sz="4" w:space="0" w:color="auto"/>
            </w:tcBorders>
            <w:vAlign w:val="center"/>
          </w:tcPr>
          <w:p w14:paraId="5644F64A"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07641F0B"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11E16CB"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Capex (₹/ crore)</w:t>
            </w:r>
          </w:p>
        </w:tc>
        <w:tc>
          <w:tcPr>
            <w:tcW w:w="1305" w:type="dxa"/>
            <w:tcBorders>
              <w:top w:val="nil"/>
              <w:left w:val="single" w:sz="4" w:space="0" w:color="auto"/>
              <w:bottom w:val="single" w:sz="4" w:space="0" w:color="auto"/>
              <w:right w:val="single" w:sz="4" w:space="0" w:color="auto"/>
            </w:tcBorders>
            <w:shd w:val="clear" w:color="auto" w:fill="auto"/>
            <w:vAlign w:val="center"/>
          </w:tcPr>
          <w:p w14:paraId="6A5D349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C</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B7BD0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1,578.40</w:t>
            </w:r>
          </w:p>
        </w:tc>
        <w:tc>
          <w:tcPr>
            <w:tcW w:w="740" w:type="dxa"/>
            <w:tcBorders>
              <w:top w:val="nil"/>
              <w:left w:val="nil"/>
              <w:bottom w:val="single" w:sz="4" w:space="0" w:color="auto"/>
              <w:right w:val="single" w:sz="4" w:space="0" w:color="auto"/>
            </w:tcBorders>
            <w:shd w:val="clear" w:color="auto" w:fill="auto"/>
            <w:noWrap/>
            <w:vAlign w:val="center"/>
            <w:hideMark/>
          </w:tcPr>
          <w:p w14:paraId="67DBA18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718" w:type="dxa"/>
            <w:tcBorders>
              <w:top w:val="nil"/>
              <w:left w:val="nil"/>
              <w:bottom w:val="single" w:sz="4" w:space="0" w:color="auto"/>
              <w:right w:val="single" w:sz="4" w:space="0" w:color="auto"/>
            </w:tcBorders>
            <w:shd w:val="clear" w:color="auto" w:fill="auto"/>
            <w:noWrap/>
            <w:vAlign w:val="center"/>
            <w:hideMark/>
          </w:tcPr>
          <w:p w14:paraId="6FD014F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CC1945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96569A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vAlign w:val="center"/>
          </w:tcPr>
          <w:p w14:paraId="529342D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vAlign w:val="center"/>
          </w:tcPr>
          <w:p w14:paraId="767953F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vAlign w:val="center"/>
          </w:tcPr>
          <w:p w14:paraId="27979E6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830" w:type="dxa"/>
            <w:tcBorders>
              <w:top w:val="nil"/>
              <w:left w:val="nil"/>
              <w:bottom w:val="single" w:sz="4" w:space="0" w:color="auto"/>
              <w:right w:val="single" w:sz="4" w:space="0" w:color="auto"/>
            </w:tcBorders>
            <w:vAlign w:val="center"/>
          </w:tcPr>
          <w:p w14:paraId="7EA47D3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r>
      <w:tr w:rsidR="00C90AAE" w:rsidRPr="006D2651" w14:paraId="54640A99"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0792E2"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 crore)</w:t>
            </w:r>
          </w:p>
        </w:tc>
        <w:tc>
          <w:tcPr>
            <w:tcW w:w="1305" w:type="dxa"/>
            <w:tcBorders>
              <w:top w:val="nil"/>
              <w:left w:val="single" w:sz="4" w:space="0" w:color="auto"/>
              <w:bottom w:val="single" w:sz="4" w:space="0" w:color="auto"/>
              <w:right w:val="single" w:sz="4" w:space="0" w:color="auto"/>
            </w:tcBorders>
            <w:shd w:val="clear" w:color="auto" w:fill="auto"/>
            <w:vAlign w:val="center"/>
          </w:tcPr>
          <w:p w14:paraId="689AB02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D</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165CAE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0924B80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88.00</w:t>
            </w:r>
          </w:p>
        </w:tc>
        <w:tc>
          <w:tcPr>
            <w:tcW w:w="718" w:type="dxa"/>
            <w:tcBorders>
              <w:top w:val="nil"/>
              <w:left w:val="nil"/>
              <w:bottom w:val="single" w:sz="4" w:space="0" w:color="auto"/>
              <w:right w:val="single" w:sz="4" w:space="0" w:color="auto"/>
            </w:tcBorders>
            <w:shd w:val="clear" w:color="auto" w:fill="auto"/>
            <w:noWrap/>
            <w:vAlign w:val="center"/>
            <w:hideMark/>
          </w:tcPr>
          <w:p w14:paraId="60B40D4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90.64</w:t>
            </w:r>
          </w:p>
        </w:tc>
        <w:tc>
          <w:tcPr>
            <w:tcW w:w="830" w:type="dxa"/>
            <w:tcBorders>
              <w:top w:val="nil"/>
              <w:left w:val="nil"/>
              <w:bottom w:val="single" w:sz="4" w:space="0" w:color="auto"/>
              <w:right w:val="single" w:sz="4" w:space="0" w:color="auto"/>
            </w:tcBorders>
            <w:shd w:val="clear" w:color="auto" w:fill="auto"/>
            <w:noWrap/>
            <w:vAlign w:val="center"/>
            <w:hideMark/>
          </w:tcPr>
          <w:p w14:paraId="766D38F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93.36</w:t>
            </w:r>
          </w:p>
        </w:tc>
        <w:tc>
          <w:tcPr>
            <w:tcW w:w="830" w:type="dxa"/>
            <w:tcBorders>
              <w:top w:val="nil"/>
              <w:left w:val="nil"/>
              <w:bottom w:val="single" w:sz="4" w:space="0" w:color="auto"/>
              <w:right w:val="single" w:sz="4" w:space="0" w:color="auto"/>
            </w:tcBorders>
            <w:shd w:val="clear" w:color="auto" w:fill="auto"/>
            <w:noWrap/>
            <w:vAlign w:val="center"/>
            <w:hideMark/>
          </w:tcPr>
          <w:p w14:paraId="57308C4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96.16</w:t>
            </w:r>
          </w:p>
        </w:tc>
        <w:tc>
          <w:tcPr>
            <w:tcW w:w="830" w:type="dxa"/>
            <w:tcBorders>
              <w:top w:val="nil"/>
              <w:left w:val="nil"/>
              <w:bottom w:val="single" w:sz="4" w:space="0" w:color="auto"/>
              <w:right w:val="single" w:sz="4" w:space="0" w:color="auto"/>
            </w:tcBorders>
            <w:vAlign w:val="center"/>
          </w:tcPr>
          <w:p w14:paraId="7C82E43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99.04</w:t>
            </w:r>
          </w:p>
        </w:tc>
        <w:tc>
          <w:tcPr>
            <w:tcW w:w="830" w:type="dxa"/>
            <w:tcBorders>
              <w:top w:val="nil"/>
              <w:left w:val="nil"/>
              <w:bottom w:val="single" w:sz="4" w:space="0" w:color="auto"/>
              <w:right w:val="single" w:sz="4" w:space="0" w:color="auto"/>
            </w:tcBorders>
            <w:vAlign w:val="center"/>
          </w:tcPr>
          <w:p w14:paraId="447B3E4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102.02</w:t>
            </w:r>
          </w:p>
        </w:tc>
        <w:tc>
          <w:tcPr>
            <w:tcW w:w="830" w:type="dxa"/>
            <w:tcBorders>
              <w:top w:val="nil"/>
              <w:left w:val="nil"/>
              <w:bottom w:val="single" w:sz="4" w:space="0" w:color="auto"/>
              <w:right w:val="single" w:sz="4" w:space="0" w:color="auto"/>
            </w:tcBorders>
            <w:vAlign w:val="center"/>
          </w:tcPr>
          <w:p w14:paraId="4710C0C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105.08</w:t>
            </w:r>
          </w:p>
        </w:tc>
        <w:tc>
          <w:tcPr>
            <w:tcW w:w="830" w:type="dxa"/>
            <w:tcBorders>
              <w:top w:val="nil"/>
              <w:left w:val="nil"/>
              <w:bottom w:val="single" w:sz="4" w:space="0" w:color="auto"/>
              <w:right w:val="single" w:sz="4" w:space="0" w:color="auto"/>
            </w:tcBorders>
            <w:vAlign w:val="center"/>
          </w:tcPr>
          <w:p w14:paraId="68C122E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108.23</w:t>
            </w:r>
          </w:p>
        </w:tc>
      </w:tr>
      <w:tr w:rsidR="00C90AAE" w:rsidRPr="006D2651" w14:paraId="3584EEFA" w14:textId="77777777" w:rsidTr="00A10F1B">
        <w:trPr>
          <w:trHeight w:val="23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CF768E6"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Net cash flow Pre-Tax for project IRR (₹/ crore)</w:t>
            </w:r>
          </w:p>
        </w:tc>
        <w:tc>
          <w:tcPr>
            <w:tcW w:w="1305" w:type="dxa"/>
            <w:tcBorders>
              <w:top w:val="nil"/>
              <w:left w:val="single" w:sz="4" w:space="0" w:color="auto"/>
              <w:bottom w:val="single" w:sz="4" w:space="0" w:color="auto"/>
              <w:right w:val="single" w:sz="4" w:space="0" w:color="auto"/>
            </w:tcBorders>
            <w:shd w:val="clear" w:color="auto" w:fill="auto"/>
            <w:vAlign w:val="center"/>
          </w:tcPr>
          <w:p w14:paraId="5A8006C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B - C - D</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C92296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(1,578.40)</w:t>
            </w:r>
          </w:p>
        </w:tc>
        <w:tc>
          <w:tcPr>
            <w:tcW w:w="740" w:type="dxa"/>
            <w:tcBorders>
              <w:top w:val="nil"/>
              <w:left w:val="nil"/>
              <w:bottom w:val="single" w:sz="4" w:space="0" w:color="auto"/>
              <w:right w:val="single" w:sz="4" w:space="0" w:color="auto"/>
            </w:tcBorders>
            <w:shd w:val="clear" w:color="auto" w:fill="auto"/>
            <w:noWrap/>
            <w:vAlign w:val="center"/>
            <w:hideMark/>
          </w:tcPr>
          <w:p w14:paraId="0E4C794B"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(6.04)</w:t>
            </w:r>
          </w:p>
        </w:tc>
        <w:tc>
          <w:tcPr>
            <w:tcW w:w="718" w:type="dxa"/>
            <w:tcBorders>
              <w:top w:val="nil"/>
              <w:left w:val="nil"/>
              <w:bottom w:val="single" w:sz="4" w:space="0" w:color="auto"/>
              <w:right w:val="single" w:sz="4" w:space="0" w:color="auto"/>
            </w:tcBorders>
            <w:shd w:val="clear" w:color="auto" w:fill="auto"/>
            <w:noWrap/>
            <w:vAlign w:val="center"/>
            <w:hideMark/>
          </w:tcPr>
          <w:p w14:paraId="26D5F05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4.98</w:t>
            </w:r>
          </w:p>
        </w:tc>
        <w:tc>
          <w:tcPr>
            <w:tcW w:w="830" w:type="dxa"/>
            <w:tcBorders>
              <w:top w:val="nil"/>
              <w:left w:val="nil"/>
              <w:bottom w:val="single" w:sz="4" w:space="0" w:color="auto"/>
              <w:right w:val="single" w:sz="4" w:space="0" w:color="auto"/>
            </w:tcBorders>
            <w:shd w:val="clear" w:color="auto" w:fill="auto"/>
            <w:noWrap/>
            <w:vAlign w:val="center"/>
            <w:hideMark/>
          </w:tcPr>
          <w:p w14:paraId="7872E983"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15.93</w:t>
            </w:r>
          </w:p>
        </w:tc>
        <w:tc>
          <w:tcPr>
            <w:tcW w:w="830" w:type="dxa"/>
            <w:tcBorders>
              <w:top w:val="nil"/>
              <w:left w:val="nil"/>
              <w:bottom w:val="single" w:sz="4" w:space="0" w:color="auto"/>
              <w:right w:val="single" w:sz="4" w:space="0" w:color="auto"/>
            </w:tcBorders>
            <w:shd w:val="clear" w:color="auto" w:fill="auto"/>
            <w:noWrap/>
            <w:vAlign w:val="center"/>
            <w:hideMark/>
          </w:tcPr>
          <w:p w14:paraId="6B753C99"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37.54</w:t>
            </w:r>
          </w:p>
        </w:tc>
        <w:tc>
          <w:tcPr>
            <w:tcW w:w="830" w:type="dxa"/>
            <w:tcBorders>
              <w:top w:val="nil"/>
              <w:left w:val="nil"/>
              <w:bottom w:val="single" w:sz="4" w:space="0" w:color="auto"/>
              <w:right w:val="single" w:sz="4" w:space="0" w:color="auto"/>
            </w:tcBorders>
            <w:vAlign w:val="center"/>
          </w:tcPr>
          <w:p w14:paraId="0BA2BD1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49.51</w:t>
            </w:r>
          </w:p>
        </w:tc>
        <w:tc>
          <w:tcPr>
            <w:tcW w:w="830" w:type="dxa"/>
            <w:tcBorders>
              <w:top w:val="nil"/>
              <w:left w:val="nil"/>
              <w:bottom w:val="single" w:sz="4" w:space="0" w:color="auto"/>
              <w:right w:val="single" w:sz="4" w:space="0" w:color="auto"/>
            </w:tcBorders>
            <w:vAlign w:val="center"/>
          </w:tcPr>
          <w:p w14:paraId="7D3CA01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76.25</w:t>
            </w:r>
          </w:p>
        </w:tc>
        <w:tc>
          <w:tcPr>
            <w:tcW w:w="830" w:type="dxa"/>
            <w:tcBorders>
              <w:top w:val="nil"/>
              <w:left w:val="nil"/>
              <w:bottom w:val="single" w:sz="4" w:space="0" w:color="auto"/>
              <w:right w:val="single" w:sz="4" w:space="0" w:color="auto"/>
            </w:tcBorders>
            <w:vAlign w:val="center"/>
          </w:tcPr>
          <w:p w14:paraId="19D5E3C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102.90</w:t>
            </w:r>
          </w:p>
        </w:tc>
        <w:tc>
          <w:tcPr>
            <w:tcW w:w="830" w:type="dxa"/>
            <w:tcBorders>
              <w:top w:val="nil"/>
              <w:left w:val="nil"/>
              <w:bottom w:val="single" w:sz="4" w:space="0" w:color="auto"/>
              <w:right w:val="single" w:sz="4" w:space="0" w:color="auto"/>
            </w:tcBorders>
            <w:vAlign w:val="center"/>
          </w:tcPr>
          <w:p w14:paraId="3D8F177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129.46</w:t>
            </w:r>
          </w:p>
        </w:tc>
      </w:tr>
    </w:tbl>
    <w:p w14:paraId="47D0BB1F" w14:textId="77777777" w:rsidR="00C90AAE" w:rsidRPr="006D2651" w:rsidRDefault="00C90AAE" w:rsidP="00C90AAE">
      <w:pPr>
        <w:spacing w:after="0"/>
        <w:rPr>
          <w:rFonts w:ascii="Times New Roman" w:hAnsi="Times New Roman"/>
          <w:sz w:val="20"/>
          <w:szCs w:val="20"/>
        </w:rPr>
      </w:pPr>
    </w:p>
    <w:p w14:paraId="2DA766FC"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tariff rates from FY 2025 onwards are calculated on cost plus basis. The cashflows (primarily revenue and in turn tariffs) are calculated such that project returns are capped at 12 per cent post tax over the entire economic life. The cashflows and corresponding levelized tariff which yield the post-tax returns @12 per cent are as per the table below:</w:t>
      </w:r>
    </w:p>
    <w:tbl>
      <w:tblPr>
        <w:tblW w:w="54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260"/>
        <w:gridCol w:w="879"/>
        <w:gridCol w:w="877"/>
        <w:gridCol w:w="877"/>
        <w:gridCol w:w="876"/>
        <w:gridCol w:w="874"/>
        <w:gridCol w:w="874"/>
        <w:gridCol w:w="874"/>
        <w:gridCol w:w="876"/>
        <w:gridCol w:w="872"/>
      </w:tblGrid>
      <w:tr w:rsidR="00C90AAE" w:rsidRPr="006D2651" w14:paraId="02D31DF9" w14:textId="77777777" w:rsidTr="00A10F1B">
        <w:trPr>
          <w:trHeight w:val="288"/>
        </w:trPr>
        <w:tc>
          <w:tcPr>
            <w:tcW w:w="1114" w:type="pct"/>
            <w:shd w:val="clear" w:color="auto" w:fill="auto"/>
            <w:noWrap/>
            <w:vAlign w:val="center"/>
            <w:hideMark/>
          </w:tcPr>
          <w:p w14:paraId="0A269968"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433" w:type="pct"/>
            <w:shd w:val="clear" w:color="auto" w:fill="auto"/>
            <w:noWrap/>
            <w:vAlign w:val="center"/>
            <w:hideMark/>
          </w:tcPr>
          <w:p w14:paraId="05D7E5A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432" w:type="pct"/>
            <w:shd w:val="clear" w:color="auto" w:fill="auto"/>
            <w:noWrap/>
            <w:vAlign w:val="center"/>
            <w:hideMark/>
          </w:tcPr>
          <w:p w14:paraId="4692EED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432" w:type="pct"/>
            <w:shd w:val="clear" w:color="auto" w:fill="auto"/>
            <w:noWrap/>
            <w:vAlign w:val="center"/>
            <w:hideMark/>
          </w:tcPr>
          <w:p w14:paraId="0DE1BBE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432" w:type="pct"/>
            <w:shd w:val="clear" w:color="auto" w:fill="auto"/>
            <w:noWrap/>
            <w:vAlign w:val="center"/>
            <w:hideMark/>
          </w:tcPr>
          <w:p w14:paraId="27F126F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431" w:type="pct"/>
            <w:shd w:val="clear" w:color="auto" w:fill="auto"/>
            <w:noWrap/>
            <w:vAlign w:val="center"/>
            <w:hideMark/>
          </w:tcPr>
          <w:p w14:paraId="69709A1C"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c>
          <w:tcPr>
            <w:tcW w:w="431" w:type="pct"/>
            <w:shd w:val="clear" w:color="auto" w:fill="auto"/>
            <w:noWrap/>
            <w:vAlign w:val="center"/>
            <w:hideMark/>
          </w:tcPr>
          <w:p w14:paraId="1FD50FD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431" w:type="pct"/>
            <w:shd w:val="clear" w:color="auto" w:fill="auto"/>
            <w:noWrap/>
            <w:vAlign w:val="center"/>
            <w:hideMark/>
          </w:tcPr>
          <w:p w14:paraId="4BCDABF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432" w:type="pct"/>
            <w:shd w:val="clear" w:color="auto" w:fill="auto"/>
            <w:vAlign w:val="center"/>
          </w:tcPr>
          <w:p w14:paraId="2C4BA63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430" w:type="pct"/>
            <w:shd w:val="clear" w:color="auto" w:fill="auto"/>
            <w:vAlign w:val="center"/>
          </w:tcPr>
          <w:p w14:paraId="6D3419E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r>
      <w:tr w:rsidR="00C90AAE" w:rsidRPr="006D2651" w14:paraId="79A3A346" w14:textId="77777777" w:rsidTr="00A10F1B">
        <w:trPr>
          <w:trHeight w:val="288"/>
        </w:trPr>
        <w:tc>
          <w:tcPr>
            <w:tcW w:w="1114" w:type="pct"/>
            <w:shd w:val="clear" w:color="auto" w:fill="auto"/>
            <w:noWrap/>
            <w:vAlign w:val="center"/>
            <w:hideMark/>
          </w:tcPr>
          <w:p w14:paraId="78318596"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433" w:type="pct"/>
            <w:shd w:val="clear" w:color="auto" w:fill="auto"/>
            <w:noWrap/>
            <w:vAlign w:val="center"/>
            <w:hideMark/>
          </w:tcPr>
          <w:p w14:paraId="1EDECB2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2" w:type="pct"/>
            <w:shd w:val="clear" w:color="auto" w:fill="auto"/>
            <w:noWrap/>
            <w:vAlign w:val="center"/>
            <w:hideMark/>
          </w:tcPr>
          <w:p w14:paraId="6425355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2" w:type="pct"/>
            <w:shd w:val="clear" w:color="auto" w:fill="auto"/>
            <w:noWrap/>
            <w:vAlign w:val="center"/>
            <w:hideMark/>
          </w:tcPr>
          <w:p w14:paraId="027B589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2" w:type="pct"/>
            <w:shd w:val="clear" w:color="auto" w:fill="auto"/>
            <w:noWrap/>
            <w:vAlign w:val="center"/>
            <w:hideMark/>
          </w:tcPr>
          <w:p w14:paraId="51017AF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1" w:type="pct"/>
            <w:shd w:val="clear" w:color="auto" w:fill="auto"/>
            <w:noWrap/>
            <w:vAlign w:val="center"/>
            <w:hideMark/>
          </w:tcPr>
          <w:p w14:paraId="40D7D3E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1" w:type="pct"/>
            <w:shd w:val="clear" w:color="auto" w:fill="auto"/>
            <w:noWrap/>
            <w:vAlign w:val="center"/>
            <w:hideMark/>
          </w:tcPr>
          <w:p w14:paraId="32E8A11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1" w:type="pct"/>
            <w:shd w:val="clear" w:color="auto" w:fill="auto"/>
            <w:noWrap/>
            <w:vAlign w:val="center"/>
            <w:hideMark/>
          </w:tcPr>
          <w:p w14:paraId="2179430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color w:val="000000"/>
                <w:sz w:val="20"/>
                <w:szCs w:val="20"/>
              </w:rPr>
              <w:t>5.57</w:t>
            </w:r>
          </w:p>
        </w:tc>
        <w:tc>
          <w:tcPr>
            <w:tcW w:w="432" w:type="pct"/>
            <w:shd w:val="clear" w:color="auto" w:fill="auto"/>
            <w:vAlign w:val="center"/>
          </w:tcPr>
          <w:p w14:paraId="440D428D"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430" w:type="pct"/>
            <w:shd w:val="clear" w:color="auto" w:fill="auto"/>
            <w:vAlign w:val="center"/>
          </w:tcPr>
          <w:p w14:paraId="4BBF0159"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r>
      <w:tr w:rsidR="00C90AAE" w:rsidRPr="006D2651" w14:paraId="568BFFC7" w14:textId="77777777" w:rsidTr="00A10F1B">
        <w:trPr>
          <w:trHeight w:val="288"/>
        </w:trPr>
        <w:tc>
          <w:tcPr>
            <w:tcW w:w="1114" w:type="pct"/>
            <w:shd w:val="clear" w:color="auto" w:fill="auto"/>
            <w:noWrap/>
            <w:vAlign w:val="center"/>
            <w:hideMark/>
          </w:tcPr>
          <w:p w14:paraId="15BB9C82"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433" w:type="pct"/>
            <w:shd w:val="clear" w:color="auto" w:fill="auto"/>
            <w:noWrap/>
            <w:vAlign w:val="center"/>
            <w:hideMark/>
          </w:tcPr>
          <w:p w14:paraId="596FE63D"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34E0A926"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29C5DB5E"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267D6058"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32E5D67A"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3661DD3D"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63713B9C"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vAlign w:val="center"/>
          </w:tcPr>
          <w:p w14:paraId="0A08B055" w14:textId="77777777" w:rsidR="00C90AAE" w:rsidRPr="006D2651" w:rsidRDefault="00C90AAE" w:rsidP="00A10F1B">
            <w:pPr>
              <w:spacing w:after="0"/>
              <w:jc w:val="center"/>
              <w:rPr>
                <w:rFonts w:ascii="Times New Roman" w:eastAsia="Times New Roman" w:hAnsi="Times New Roman"/>
                <w:sz w:val="20"/>
                <w:szCs w:val="20"/>
              </w:rPr>
            </w:pPr>
          </w:p>
        </w:tc>
        <w:tc>
          <w:tcPr>
            <w:tcW w:w="430" w:type="pct"/>
            <w:shd w:val="clear" w:color="auto" w:fill="auto"/>
            <w:vAlign w:val="center"/>
          </w:tcPr>
          <w:p w14:paraId="0A616C7F" w14:textId="77777777" w:rsidR="00C90AAE" w:rsidRPr="006D2651" w:rsidRDefault="00C90AAE" w:rsidP="00A10F1B">
            <w:pPr>
              <w:spacing w:after="0"/>
              <w:jc w:val="center"/>
              <w:rPr>
                <w:rFonts w:ascii="Times New Roman" w:eastAsia="Times New Roman" w:hAnsi="Times New Roman"/>
                <w:sz w:val="20"/>
                <w:szCs w:val="20"/>
              </w:rPr>
            </w:pPr>
          </w:p>
        </w:tc>
      </w:tr>
      <w:tr w:rsidR="00C90AAE" w:rsidRPr="006D2651" w14:paraId="085A21A7" w14:textId="77777777" w:rsidTr="00A10F1B">
        <w:trPr>
          <w:trHeight w:val="288"/>
        </w:trPr>
        <w:tc>
          <w:tcPr>
            <w:tcW w:w="1114" w:type="pct"/>
            <w:shd w:val="clear" w:color="auto" w:fill="auto"/>
            <w:noWrap/>
            <w:vAlign w:val="center"/>
            <w:hideMark/>
          </w:tcPr>
          <w:p w14:paraId="53E0659C"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433" w:type="pct"/>
            <w:shd w:val="clear" w:color="auto" w:fill="auto"/>
            <w:noWrap/>
            <w:vAlign w:val="center"/>
            <w:hideMark/>
          </w:tcPr>
          <w:p w14:paraId="62A6F639"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855.45</w:t>
            </w:r>
          </w:p>
        </w:tc>
        <w:tc>
          <w:tcPr>
            <w:tcW w:w="432" w:type="pct"/>
            <w:shd w:val="clear" w:color="auto" w:fill="auto"/>
            <w:noWrap/>
            <w:vAlign w:val="center"/>
            <w:hideMark/>
          </w:tcPr>
          <w:p w14:paraId="3A40DFC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2" w:type="pct"/>
            <w:shd w:val="clear" w:color="auto" w:fill="auto"/>
            <w:noWrap/>
            <w:vAlign w:val="center"/>
            <w:hideMark/>
          </w:tcPr>
          <w:p w14:paraId="65D5541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2" w:type="pct"/>
            <w:shd w:val="clear" w:color="auto" w:fill="auto"/>
            <w:noWrap/>
            <w:vAlign w:val="center"/>
            <w:hideMark/>
          </w:tcPr>
          <w:p w14:paraId="4407FA2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1" w:type="pct"/>
            <w:shd w:val="clear" w:color="auto" w:fill="auto"/>
            <w:noWrap/>
            <w:vAlign w:val="center"/>
            <w:hideMark/>
          </w:tcPr>
          <w:p w14:paraId="0114976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1" w:type="pct"/>
            <w:shd w:val="clear" w:color="auto" w:fill="auto"/>
            <w:noWrap/>
            <w:vAlign w:val="center"/>
            <w:hideMark/>
          </w:tcPr>
          <w:p w14:paraId="0E0190E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1" w:type="pct"/>
            <w:shd w:val="clear" w:color="auto" w:fill="auto"/>
            <w:noWrap/>
            <w:vAlign w:val="center"/>
            <w:hideMark/>
          </w:tcPr>
          <w:p w14:paraId="6D20CE2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950.50</w:t>
            </w:r>
          </w:p>
        </w:tc>
        <w:tc>
          <w:tcPr>
            <w:tcW w:w="432" w:type="pct"/>
            <w:shd w:val="clear" w:color="auto" w:fill="auto"/>
            <w:vAlign w:val="center"/>
          </w:tcPr>
          <w:p w14:paraId="1E908FA9"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430" w:type="pct"/>
            <w:shd w:val="clear" w:color="auto" w:fill="auto"/>
            <w:vAlign w:val="center"/>
          </w:tcPr>
          <w:p w14:paraId="2AE4032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r>
      <w:tr w:rsidR="00C90AAE" w:rsidRPr="006D2651" w14:paraId="51A340C0" w14:textId="77777777" w:rsidTr="00A10F1B">
        <w:trPr>
          <w:trHeight w:val="288"/>
        </w:trPr>
        <w:tc>
          <w:tcPr>
            <w:tcW w:w="1114" w:type="pct"/>
            <w:shd w:val="clear" w:color="auto" w:fill="auto"/>
            <w:noWrap/>
            <w:vAlign w:val="center"/>
            <w:hideMark/>
          </w:tcPr>
          <w:p w14:paraId="04C9AA69"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433" w:type="pct"/>
            <w:shd w:val="clear" w:color="auto" w:fill="auto"/>
            <w:noWrap/>
            <w:vAlign w:val="center"/>
            <w:hideMark/>
          </w:tcPr>
          <w:p w14:paraId="479B2E19"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27445884"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040474DB"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noWrap/>
            <w:vAlign w:val="center"/>
            <w:hideMark/>
          </w:tcPr>
          <w:p w14:paraId="3A03B22D"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3AD7402A"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6EC56099" w14:textId="77777777" w:rsidR="00C90AAE" w:rsidRPr="006D2651" w:rsidRDefault="00C90AAE" w:rsidP="00A10F1B">
            <w:pPr>
              <w:spacing w:after="0"/>
              <w:jc w:val="center"/>
              <w:rPr>
                <w:rFonts w:ascii="Times New Roman" w:eastAsia="Times New Roman" w:hAnsi="Times New Roman"/>
                <w:sz w:val="20"/>
                <w:szCs w:val="20"/>
              </w:rPr>
            </w:pPr>
          </w:p>
        </w:tc>
        <w:tc>
          <w:tcPr>
            <w:tcW w:w="431" w:type="pct"/>
            <w:shd w:val="clear" w:color="auto" w:fill="auto"/>
            <w:noWrap/>
            <w:vAlign w:val="center"/>
            <w:hideMark/>
          </w:tcPr>
          <w:p w14:paraId="2517C984" w14:textId="77777777" w:rsidR="00C90AAE" w:rsidRPr="006D2651" w:rsidRDefault="00C90AAE" w:rsidP="00A10F1B">
            <w:pPr>
              <w:spacing w:after="0"/>
              <w:jc w:val="center"/>
              <w:rPr>
                <w:rFonts w:ascii="Times New Roman" w:eastAsia="Times New Roman" w:hAnsi="Times New Roman"/>
                <w:sz w:val="20"/>
                <w:szCs w:val="20"/>
              </w:rPr>
            </w:pPr>
          </w:p>
        </w:tc>
        <w:tc>
          <w:tcPr>
            <w:tcW w:w="432" w:type="pct"/>
            <w:shd w:val="clear" w:color="auto" w:fill="auto"/>
            <w:vAlign w:val="center"/>
          </w:tcPr>
          <w:p w14:paraId="1C9A9137" w14:textId="77777777" w:rsidR="00C90AAE" w:rsidRPr="006D2651" w:rsidRDefault="00C90AAE" w:rsidP="00A10F1B">
            <w:pPr>
              <w:spacing w:after="0"/>
              <w:jc w:val="center"/>
              <w:rPr>
                <w:rFonts w:ascii="Times New Roman" w:eastAsia="Times New Roman" w:hAnsi="Times New Roman"/>
                <w:sz w:val="20"/>
                <w:szCs w:val="20"/>
              </w:rPr>
            </w:pPr>
          </w:p>
        </w:tc>
        <w:tc>
          <w:tcPr>
            <w:tcW w:w="430" w:type="pct"/>
            <w:shd w:val="clear" w:color="auto" w:fill="auto"/>
            <w:vAlign w:val="center"/>
          </w:tcPr>
          <w:p w14:paraId="70C1B0A9" w14:textId="77777777" w:rsidR="00C90AAE" w:rsidRPr="006D2651" w:rsidRDefault="00C90AAE" w:rsidP="00A10F1B">
            <w:pPr>
              <w:spacing w:after="0"/>
              <w:jc w:val="center"/>
              <w:rPr>
                <w:rFonts w:ascii="Times New Roman" w:eastAsia="Times New Roman" w:hAnsi="Times New Roman"/>
                <w:sz w:val="20"/>
                <w:szCs w:val="20"/>
              </w:rPr>
            </w:pPr>
          </w:p>
        </w:tc>
      </w:tr>
      <w:tr w:rsidR="00C90AAE" w:rsidRPr="006D2651" w14:paraId="0A902A6B" w14:textId="77777777" w:rsidTr="00A10F1B">
        <w:trPr>
          <w:trHeight w:val="288"/>
        </w:trPr>
        <w:tc>
          <w:tcPr>
            <w:tcW w:w="1114" w:type="pct"/>
            <w:shd w:val="clear" w:color="auto" w:fill="auto"/>
            <w:noWrap/>
            <w:vAlign w:val="center"/>
            <w:hideMark/>
          </w:tcPr>
          <w:p w14:paraId="7EF7DB3D"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433" w:type="pct"/>
            <w:shd w:val="clear" w:color="auto" w:fill="auto"/>
            <w:noWrap/>
            <w:vAlign w:val="center"/>
            <w:hideMark/>
          </w:tcPr>
          <w:p w14:paraId="05A2BD0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2" w:type="pct"/>
            <w:shd w:val="clear" w:color="auto" w:fill="auto"/>
            <w:noWrap/>
            <w:vAlign w:val="center"/>
            <w:hideMark/>
          </w:tcPr>
          <w:p w14:paraId="4F3A97C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2" w:type="pct"/>
            <w:shd w:val="clear" w:color="auto" w:fill="auto"/>
            <w:noWrap/>
            <w:vAlign w:val="center"/>
            <w:hideMark/>
          </w:tcPr>
          <w:p w14:paraId="15DD65C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2" w:type="pct"/>
            <w:shd w:val="clear" w:color="auto" w:fill="auto"/>
            <w:noWrap/>
            <w:vAlign w:val="center"/>
            <w:hideMark/>
          </w:tcPr>
          <w:p w14:paraId="6996CE92"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1" w:type="pct"/>
            <w:shd w:val="clear" w:color="auto" w:fill="auto"/>
            <w:noWrap/>
            <w:vAlign w:val="center"/>
            <w:hideMark/>
          </w:tcPr>
          <w:p w14:paraId="597FAF39"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1" w:type="pct"/>
            <w:shd w:val="clear" w:color="auto" w:fill="auto"/>
            <w:noWrap/>
            <w:vAlign w:val="center"/>
            <w:hideMark/>
          </w:tcPr>
          <w:p w14:paraId="12720509"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1" w:type="pct"/>
            <w:shd w:val="clear" w:color="auto" w:fill="auto"/>
            <w:noWrap/>
            <w:vAlign w:val="center"/>
            <w:hideMark/>
          </w:tcPr>
          <w:p w14:paraId="3B37F04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w:t>
            </w:r>
          </w:p>
        </w:tc>
        <w:tc>
          <w:tcPr>
            <w:tcW w:w="432" w:type="pct"/>
            <w:shd w:val="clear" w:color="auto" w:fill="auto"/>
            <w:vAlign w:val="center"/>
          </w:tcPr>
          <w:p w14:paraId="6C08BA1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430" w:type="pct"/>
            <w:shd w:val="clear" w:color="auto" w:fill="auto"/>
            <w:vAlign w:val="center"/>
          </w:tcPr>
          <w:p w14:paraId="25D8D5D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r>
      <w:tr w:rsidR="00C90AAE" w:rsidRPr="006D2651" w14:paraId="3CCD077E" w14:textId="77777777" w:rsidTr="00A10F1B">
        <w:trPr>
          <w:trHeight w:val="288"/>
        </w:trPr>
        <w:tc>
          <w:tcPr>
            <w:tcW w:w="1114" w:type="pct"/>
            <w:shd w:val="clear" w:color="auto" w:fill="auto"/>
            <w:noWrap/>
            <w:vAlign w:val="center"/>
            <w:hideMark/>
          </w:tcPr>
          <w:p w14:paraId="57B7FCC6"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433" w:type="pct"/>
            <w:shd w:val="clear" w:color="auto" w:fill="auto"/>
            <w:noWrap/>
            <w:vAlign w:val="center"/>
          </w:tcPr>
          <w:p w14:paraId="486910B8"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111.48</w:t>
            </w:r>
          </w:p>
        </w:tc>
        <w:tc>
          <w:tcPr>
            <w:tcW w:w="432" w:type="pct"/>
            <w:shd w:val="clear" w:color="auto" w:fill="auto"/>
            <w:noWrap/>
            <w:vAlign w:val="center"/>
          </w:tcPr>
          <w:p w14:paraId="01B3460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114.82</w:t>
            </w:r>
          </w:p>
        </w:tc>
        <w:tc>
          <w:tcPr>
            <w:tcW w:w="432" w:type="pct"/>
            <w:shd w:val="clear" w:color="auto" w:fill="auto"/>
            <w:noWrap/>
            <w:vAlign w:val="center"/>
          </w:tcPr>
          <w:p w14:paraId="55932714"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118.26</w:t>
            </w:r>
          </w:p>
        </w:tc>
        <w:tc>
          <w:tcPr>
            <w:tcW w:w="432" w:type="pct"/>
            <w:shd w:val="clear" w:color="auto" w:fill="auto"/>
            <w:noWrap/>
            <w:vAlign w:val="center"/>
          </w:tcPr>
          <w:p w14:paraId="094F199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121.81</w:t>
            </w:r>
          </w:p>
        </w:tc>
        <w:tc>
          <w:tcPr>
            <w:tcW w:w="431" w:type="pct"/>
            <w:shd w:val="clear" w:color="auto" w:fill="auto"/>
            <w:noWrap/>
            <w:vAlign w:val="center"/>
          </w:tcPr>
          <w:p w14:paraId="3A96635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125.47</w:t>
            </w:r>
          </w:p>
        </w:tc>
        <w:tc>
          <w:tcPr>
            <w:tcW w:w="431" w:type="pct"/>
            <w:shd w:val="clear" w:color="auto" w:fill="auto"/>
            <w:noWrap/>
            <w:vAlign w:val="center"/>
          </w:tcPr>
          <w:p w14:paraId="366EE3F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129.23</w:t>
            </w:r>
          </w:p>
        </w:tc>
        <w:tc>
          <w:tcPr>
            <w:tcW w:w="431" w:type="pct"/>
            <w:shd w:val="clear" w:color="auto" w:fill="auto"/>
            <w:noWrap/>
            <w:vAlign w:val="center"/>
          </w:tcPr>
          <w:p w14:paraId="572D4EC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133.11</w:t>
            </w:r>
          </w:p>
        </w:tc>
        <w:tc>
          <w:tcPr>
            <w:tcW w:w="432" w:type="pct"/>
            <w:shd w:val="clear" w:color="auto" w:fill="auto"/>
            <w:vAlign w:val="center"/>
          </w:tcPr>
          <w:p w14:paraId="003326E5"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137.10</w:t>
            </w:r>
          </w:p>
        </w:tc>
        <w:tc>
          <w:tcPr>
            <w:tcW w:w="430" w:type="pct"/>
            <w:shd w:val="clear" w:color="auto" w:fill="auto"/>
            <w:vAlign w:val="center"/>
          </w:tcPr>
          <w:p w14:paraId="4567DE6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141.21</w:t>
            </w:r>
          </w:p>
        </w:tc>
      </w:tr>
      <w:tr w:rsidR="00C90AAE" w:rsidRPr="006D2651" w14:paraId="76C0C52B" w14:textId="77777777" w:rsidTr="00A10F1B">
        <w:trPr>
          <w:trHeight w:val="288"/>
        </w:trPr>
        <w:tc>
          <w:tcPr>
            <w:tcW w:w="1114" w:type="pct"/>
            <w:shd w:val="clear" w:color="auto" w:fill="auto"/>
            <w:noWrap/>
            <w:vAlign w:val="center"/>
            <w:hideMark/>
          </w:tcPr>
          <w:p w14:paraId="20A5335C"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433" w:type="pct"/>
            <w:shd w:val="clear" w:color="auto" w:fill="auto"/>
            <w:noWrap/>
            <w:vAlign w:val="center"/>
            <w:hideMark/>
          </w:tcPr>
          <w:p w14:paraId="7CB007F1"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743.98</w:t>
            </w:r>
          </w:p>
        </w:tc>
        <w:tc>
          <w:tcPr>
            <w:tcW w:w="432" w:type="pct"/>
            <w:shd w:val="clear" w:color="auto" w:fill="auto"/>
            <w:noWrap/>
            <w:vAlign w:val="center"/>
            <w:hideMark/>
          </w:tcPr>
          <w:p w14:paraId="082D993F"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835.68</w:t>
            </w:r>
          </w:p>
        </w:tc>
        <w:tc>
          <w:tcPr>
            <w:tcW w:w="432" w:type="pct"/>
            <w:shd w:val="clear" w:color="auto" w:fill="auto"/>
            <w:noWrap/>
            <w:vAlign w:val="center"/>
            <w:hideMark/>
          </w:tcPr>
          <w:p w14:paraId="585CC08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832.24</w:t>
            </w:r>
          </w:p>
        </w:tc>
        <w:tc>
          <w:tcPr>
            <w:tcW w:w="432" w:type="pct"/>
            <w:shd w:val="clear" w:color="auto" w:fill="auto"/>
            <w:noWrap/>
            <w:vAlign w:val="center"/>
            <w:hideMark/>
          </w:tcPr>
          <w:p w14:paraId="7953EA0A"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828.69</w:t>
            </w:r>
          </w:p>
        </w:tc>
        <w:tc>
          <w:tcPr>
            <w:tcW w:w="431" w:type="pct"/>
            <w:shd w:val="clear" w:color="auto" w:fill="auto"/>
            <w:noWrap/>
            <w:vAlign w:val="center"/>
            <w:hideMark/>
          </w:tcPr>
          <w:p w14:paraId="23467566"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825.04</w:t>
            </w:r>
          </w:p>
        </w:tc>
        <w:tc>
          <w:tcPr>
            <w:tcW w:w="431" w:type="pct"/>
            <w:shd w:val="clear" w:color="auto" w:fill="auto"/>
            <w:noWrap/>
            <w:vAlign w:val="center"/>
            <w:hideMark/>
          </w:tcPr>
          <w:p w14:paraId="611295F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821.27</w:t>
            </w:r>
          </w:p>
        </w:tc>
        <w:tc>
          <w:tcPr>
            <w:tcW w:w="431" w:type="pct"/>
            <w:shd w:val="clear" w:color="auto" w:fill="auto"/>
            <w:noWrap/>
            <w:vAlign w:val="center"/>
            <w:hideMark/>
          </w:tcPr>
          <w:p w14:paraId="210FB1E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color w:val="000000"/>
                <w:sz w:val="20"/>
                <w:szCs w:val="20"/>
              </w:rPr>
              <w:t>817.40</w:t>
            </w:r>
          </w:p>
        </w:tc>
        <w:tc>
          <w:tcPr>
            <w:tcW w:w="432" w:type="pct"/>
            <w:shd w:val="clear" w:color="auto" w:fill="auto"/>
            <w:vAlign w:val="center"/>
          </w:tcPr>
          <w:p w14:paraId="72295D02"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813.40</w:t>
            </w:r>
          </w:p>
        </w:tc>
        <w:tc>
          <w:tcPr>
            <w:tcW w:w="430" w:type="pct"/>
            <w:shd w:val="clear" w:color="auto" w:fill="auto"/>
            <w:vAlign w:val="center"/>
          </w:tcPr>
          <w:p w14:paraId="37E2115C"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809.29</w:t>
            </w:r>
          </w:p>
        </w:tc>
      </w:tr>
    </w:tbl>
    <w:p w14:paraId="5C58FF27" w14:textId="77777777" w:rsidR="00C90AAE" w:rsidRPr="006D2651" w:rsidRDefault="00C90AAE" w:rsidP="00C90AAE">
      <w:pPr>
        <w:spacing w:after="0"/>
        <w:jc w:val="both"/>
        <w:rPr>
          <w:rFonts w:ascii="Times New Roman" w:hAnsi="Times New Roman"/>
          <w:sz w:val="20"/>
          <w:szCs w:val="20"/>
          <w:highlight w:val="yellow"/>
        </w:rPr>
      </w:pP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245"/>
        <w:gridCol w:w="1209"/>
        <w:gridCol w:w="907"/>
        <w:gridCol w:w="907"/>
        <w:gridCol w:w="1011"/>
        <w:gridCol w:w="1011"/>
        <w:gridCol w:w="1011"/>
        <w:gridCol w:w="969"/>
        <w:gridCol w:w="941"/>
      </w:tblGrid>
      <w:tr w:rsidR="00C90AAE" w:rsidRPr="006D2651" w14:paraId="03FF4C09" w14:textId="77777777" w:rsidTr="00A10F1B">
        <w:trPr>
          <w:trHeight w:val="355"/>
        </w:trPr>
        <w:tc>
          <w:tcPr>
            <w:tcW w:w="2245" w:type="dxa"/>
            <w:shd w:val="clear" w:color="auto" w:fill="auto"/>
            <w:noWrap/>
            <w:vAlign w:val="center"/>
            <w:hideMark/>
          </w:tcPr>
          <w:p w14:paraId="5D4150CF"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1209" w:type="dxa"/>
            <w:shd w:val="clear" w:color="auto" w:fill="auto"/>
            <w:vAlign w:val="center"/>
          </w:tcPr>
          <w:p w14:paraId="2DC606A4"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907" w:type="dxa"/>
            <w:shd w:val="clear" w:color="auto" w:fill="auto"/>
            <w:vAlign w:val="center"/>
          </w:tcPr>
          <w:p w14:paraId="20F99B9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907" w:type="dxa"/>
            <w:shd w:val="clear" w:color="auto" w:fill="auto"/>
            <w:vAlign w:val="center"/>
          </w:tcPr>
          <w:p w14:paraId="22D1E94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1011" w:type="dxa"/>
            <w:shd w:val="clear" w:color="auto" w:fill="auto"/>
            <w:vAlign w:val="center"/>
          </w:tcPr>
          <w:p w14:paraId="69EF66A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1011" w:type="dxa"/>
            <w:shd w:val="clear" w:color="auto" w:fill="auto"/>
            <w:vAlign w:val="center"/>
          </w:tcPr>
          <w:p w14:paraId="20427D1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1011" w:type="dxa"/>
            <w:shd w:val="clear" w:color="auto" w:fill="auto"/>
            <w:vAlign w:val="center"/>
          </w:tcPr>
          <w:p w14:paraId="31C5ECC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969" w:type="dxa"/>
            <w:shd w:val="clear" w:color="auto" w:fill="auto"/>
            <w:vAlign w:val="center"/>
          </w:tcPr>
          <w:p w14:paraId="1119F0E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941" w:type="dxa"/>
            <w:shd w:val="clear" w:color="auto" w:fill="auto"/>
            <w:vAlign w:val="center"/>
          </w:tcPr>
          <w:p w14:paraId="2B3AA60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01A4A4FE" w14:textId="77777777" w:rsidTr="00A10F1B">
        <w:trPr>
          <w:trHeight w:val="355"/>
        </w:trPr>
        <w:tc>
          <w:tcPr>
            <w:tcW w:w="2245" w:type="dxa"/>
            <w:shd w:val="clear" w:color="auto" w:fill="auto"/>
            <w:noWrap/>
            <w:vAlign w:val="center"/>
            <w:hideMark/>
          </w:tcPr>
          <w:p w14:paraId="7414964F"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Calculated Tariff (₹/MT/km)</w:t>
            </w:r>
          </w:p>
        </w:tc>
        <w:tc>
          <w:tcPr>
            <w:tcW w:w="1209" w:type="dxa"/>
            <w:shd w:val="clear" w:color="auto" w:fill="auto"/>
            <w:vAlign w:val="center"/>
          </w:tcPr>
          <w:p w14:paraId="54D758DF"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907" w:type="dxa"/>
            <w:shd w:val="clear" w:color="auto" w:fill="auto"/>
            <w:vAlign w:val="center"/>
          </w:tcPr>
          <w:p w14:paraId="64794CBC"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907" w:type="dxa"/>
            <w:shd w:val="clear" w:color="auto" w:fill="auto"/>
            <w:vAlign w:val="center"/>
          </w:tcPr>
          <w:p w14:paraId="1C81AD74"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1011" w:type="dxa"/>
            <w:shd w:val="clear" w:color="auto" w:fill="auto"/>
            <w:vAlign w:val="center"/>
          </w:tcPr>
          <w:p w14:paraId="35E7F6DC"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1011" w:type="dxa"/>
            <w:shd w:val="clear" w:color="auto" w:fill="auto"/>
            <w:vAlign w:val="center"/>
          </w:tcPr>
          <w:p w14:paraId="1EF626D9"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1011" w:type="dxa"/>
            <w:shd w:val="clear" w:color="auto" w:fill="auto"/>
            <w:vAlign w:val="center"/>
          </w:tcPr>
          <w:p w14:paraId="643D0CE6"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969" w:type="dxa"/>
            <w:shd w:val="clear" w:color="auto" w:fill="auto"/>
            <w:vAlign w:val="center"/>
          </w:tcPr>
          <w:p w14:paraId="1524CAFE"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c>
          <w:tcPr>
            <w:tcW w:w="941" w:type="dxa"/>
            <w:shd w:val="clear" w:color="auto" w:fill="auto"/>
            <w:vAlign w:val="center"/>
          </w:tcPr>
          <w:p w14:paraId="3F8C3A48" w14:textId="77777777" w:rsidR="00C90AAE" w:rsidRPr="006D2651" w:rsidRDefault="00C90AAE" w:rsidP="00A10F1B">
            <w:pPr>
              <w:spacing w:after="0"/>
              <w:jc w:val="center"/>
              <w:rPr>
                <w:rFonts w:ascii="Times New Roman" w:hAnsi="Times New Roman"/>
                <w:b/>
                <w:sz w:val="20"/>
                <w:szCs w:val="20"/>
              </w:rPr>
            </w:pPr>
            <w:r w:rsidRPr="006D2651">
              <w:rPr>
                <w:rFonts w:ascii="Times New Roman" w:hAnsi="Times New Roman"/>
                <w:color w:val="000000"/>
                <w:sz w:val="20"/>
                <w:szCs w:val="20"/>
              </w:rPr>
              <w:t>5.57</w:t>
            </w:r>
          </w:p>
        </w:tc>
      </w:tr>
      <w:tr w:rsidR="00C90AAE" w:rsidRPr="006D2651" w14:paraId="7743A0CE" w14:textId="77777777" w:rsidTr="00A10F1B">
        <w:trPr>
          <w:trHeight w:val="355"/>
        </w:trPr>
        <w:tc>
          <w:tcPr>
            <w:tcW w:w="2245" w:type="dxa"/>
            <w:shd w:val="clear" w:color="auto" w:fill="auto"/>
            <w:noWrap/>
            <w:vAlign w:val="center"/>
            <w:hideMark/>
          </w:tcPr>
          <w:p w14:paraId="245A46AB"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Inflow</w:t>
            </w:r>
          </w:p>
        </w:tc>
        <w:tc>
          <w:tcPr>
            <w:tcW w:w="1209" w:type="dxa"/>
            <w:shd w:val="clear" w:color="auto" w:fill="auto"/>
            <w:vAlign w:val="center"/>
          </w:tcPr>
          <w:p w14:paraId="3655CFE9" w14:textId="77777777" w:rsidR="00C90AAE" w:rsidRPr="006D2651" w:rsidRDefault="00C90AAE" w:rsidP="00A10F1B">
            <w:pPr>
              <w:spacing w:after="0"/>
              <w:jc w:val="center"/>
              <w:rPr>
                <w:rFonts w:ascii="Times New Roman" w:eastAsia="Times New Roman" w:hAnsi="Times New Roman"/>
                <w:sz w:val="20"/>
                <w:szCs w:val="20"/>
              </w:rPr>
            </w:pPr>
          </w:p>
        </w:tc>
        <w:tc>
          <w:tcPr>
            <w:tcW w:w="907" w:type="dxa"/>
            <w:shd w:val="clear" w:color="auto" w:fill="auto"/>
            <w:vAlign w:val="center"/>
          </w:tcPr>
          <w:p w14:paraId="1515EF0F" w14:textId="77777777" w:rsidR="00C90AAE" w:rsidRPr="006D2651" w:rsidRDefault="00C90AAE" w:rsidP="00A10F1B">
            <w:pPr>
              <w:spacing w:after="0"/>
              <w:jc w:val="center"/>
              <w:rPr>
                <w:rFonts w:ascii="Times New Roman" w:eastAsia="Times New Roman" w:hAnsi="Times New Roman"/>
                <w:sz w:val="20"/>
                <w:szCs w:val="20"/>
              </w:rPr>
            </w:pPr>
          </w:p>
        </w:tc>
        <w:tc>
          <w:tcPr>
            <w:tcW w:w="907" w:type="dxa"/>
            <w:shd w:val="clear" w:color="auto" w:fill="auto"/>
            <w:vAlign w:val="center"/>
          </w:tcPr>
          <w:p w14:paraId="0580C04F"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375E5078"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3841E728"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534DC205" w14:textId="77777777" w:rsidR="00C90AAE" w:rsidRPr="006D2651" w:rsidRDefault="00C90AAE" w:rsidP="00A10F1B">
            <w:pPr>
              <w:spacing w:after="0"/>
              <w:jc w:val="center"/>
              <w:rPr>
                <w:rFonts w:ascii="Times New Roman" w:eastAsia="Times New Roman" w:hAnsi="Times New Roman"/>
                <w:sz w:val="20"/>
                <w:szCs w:val="20"/>
              </w:rPr>
            </w:pPr>
          </w:p>
        </w:tc>
        <w:tc>
          <w:tcPr>
            <w:tcW w:w="969" w:type="dxa"/>
            <w:shd w:val="clear" w:color="auto" w:fill="auto"/>
            <w:vAlign w:val="center"/>
          </w:tcPr>
          <w:p w14:paraId="69192782" w14:textId="77777777" w:rsidR="00C90AAE" w:rsidRPr="006D2651" w:rsidRDefault="00C90AAE" w:rsidP="00A10F1B">
            <w:pPr>
              <w:spacing w:after="0"/>
              <w:jc w:val="center"/>
              <w:rPr>
                <w:rFonts w:ascii="Times New Roman" w:eastAsia="Times New Roman" w:hAnsi="Times New Roman"/>
                <w:sz w:val="20"/>
                <w:szCs w:val="20"/>
              </w:rPr>
            </w:pPr>
          </w:p>
        </w:tc>
        <w:tc>
          <w:tcPr>
            <w:tcW w:w="941" w:type="dxa"/>
            <w:shd w:val="clear" w:color="auto" w:fill="auto"/>
            <w:vAlign w:val="center"/>
          </w:tcPr>
          <w:p w14:paraId="050DA370" w14:textId="77777777" w:rsidR="00C90AAE" w:rsidRPr="006D2651" w:rsidRDefault="00C90AAE" w:rsidP="00A10F1B">
            <w:pPr>
              <w:spacing w:after="0"/>
              <w:jc w:val="center"/>
              <w:rPr>
                <w:rFonts w:ascii="Times New Roman" w:eastAsia="Times New Roman" w:hAnsi="Times New Roman"/>
                <w:sz w:val="20"/>
                <w:szCs w:val="20"/>
              </w:rPr>
            </w:pPr>
          </w:p>
        </w:tc>
      </w:tr>
      <w:tr w:rsidR="00C90AAE" w:rsidRPr="006D2651" w14:paraId="50B10947" w14:textId="77777777" w:rsidTr="00A10F1B">
        <w:trPr>
          <w:trHeight w:val="355"/>
        </w:trPr>
        <w:tc>
          <w:tcPr>
            <w:tcW w:w="2245" w:type="dxa"/>
            <w:shd w:val="clear" w:color="auto" w:fill="auto"/>
            <w:noWrap/>
            <w:vAlign w:val="center"/>
            <w:hideMark/>
          </w:tcPr>
          <w:p w14:paraId="787CE39D"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1209" w:type="dxa"/>
            <w:shd w:val="clear" w:color="auto" w:fill="auto"/>
            <w:vAlign w:val="center"/>
          </w:tcPr>
          <w:p w14:paraId="6A34E3B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907" w:type="dxa"/>
            <w:shd w:val="clear" w:color="auto" w:fill="auto"/>
            <w:vAlign w:val="center"/>
          </w:tcPr>
          <w:p w14:paraId="0A10A9B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907" w:type="dxa"/>
            <w:shd w:val="clear" w:color="auto" w:fill="auto"/>
            <w:vAlign w:val="center"/>
          </w:tcPr>
          <w:p w14:paraId="3C4AA658"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1011" w:type="dxa"/>
            <w:shd w:val="clear" w:color="auto" w:fill="auto"/>
            <w:vAlign w:val="center"/>
          </w:tcPr>
          <w:p w14:paraId="16DC5CE8"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1011" w:type="dxa"/>
            <w:shd w:val="clear" w:color="auto" w:fill="auto"/>
            <w:vAlign w:val="center"/>
          </w:tcPr>
          <w:p w14:paraId="1EE4E91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1011" w:type="dxa"/>
            <w:shd w:val="clear" w:color="auto" w:fill="auto"/>
            <w:vAlign w:val="center"/>
          </w:tcPr>
          <w:p w14:paraId="4ECE71F7"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969" w:type="dxa"/>
            <w:shd w:val="clear" w:color="auto" w:fill="auto"/>
            <w:vAlign w:val="center"/>
          </w:tcPr>
          <w:p w14:paraId="60F6F86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c>
          <w:tcPr>
            <w:tcW w:w="941" w:type="dxa"/>
            <w:shd w:val="clear" w:color="auto" w:fill="auto"/>
            <w:vAlign w:val="center"/>
          </w:tcPr>
          <w:p w14:paraId="7DA57CC8"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950.50</w:t>
            </w:r>
          </w:p>
        </w:tc>
      </w:tr>
      <w:tr w:rsidR="00C90AAE" w:rsidRPr="006D2651" w14:paraId="7DF56107" w14:textId="77777777" w:rsidTr="00A10F1B">
        <w:trPr>
          <w:trHeight w:val="355"/>
        </w:trPr>
        <w:tc>
          <w:tcPr>
            <w:tcW w:w="2245" w:type="dxa"/>
            <w:shd w:val="clear" w:color="auto" w:fill="auto"/>
            <w:noWrap/>
            <w:vAlign w:val="center"/>
            <w:hideMark/>
          </w:tcPr>
          <w:p w14:paraId="32BDD61D" w14:textId="77777777" w:rsidR="00C90AAE" w:rsidRPr="006D2651" w:rsidRDefault="00C90AAE" w:rsidP="00A10F1B">
            <w:pPr>
              <w:spacing w:after="0"/>
              <w:jc w:val="both"/>
              <w:rPr>
                <w:rFonts w:ascii="Times New Roman" w:eastAsia="Times New Roman" w:hAnsi="Times New Roman"/>
                <w:b/>
                <w:sz w:val="20"/>
                <w:szCs w:val="20"/>
              </w:rPr>
            </w:pPr>
            <w:r w:rsidRPr="006D2651">
              <w:rPr>
                <w:rFonts w:ascii="Times New Roman" w:eastAsia="Times New Roman" w:hAnsi="Times New Roman"/>
                <w:b/>
                <w:sz w:val="20"/>
                <w:szCs w:val="20"/>
              </w:rPr>
              <w:t>Cash Outflow</w:t>
            </w:r>
          </w:p>
        </w:tc>
        <w:tc>
          <w:tcPr>
            <w:tcW w:w="1209" w:type="dxa"/>
            <w:shd w:val="clear" w:color="auto" w:fill="auto"/>
            <w:vAlign w:val="center"/>
          </w:tcPr>
          <w:p w14:paraId="37CBF0E6" w14:textId="77777777" w:rsidR="00C90AAE" w:rsidRPr="006D2651" w:rsidRDefault="00C90AAE" w:rsidP="00A10F1B">
            <w:pPr>
              <w:spacing w:after="0"/>
              <w:jc w:val="center"/>
              <w:rPr>
                <w:rFonts w:ascii="Times New Roman" w:eastAsia="Times New Roman" w:hAnsi="Times New Roman"/>
                <w:sz w:val="20"/>
                <w:szCs w:val="20"/>
              </w:rPr>
            </w:pPr>
          </w:p>
        </w:tc>
        <w:tc>
          <w:tcPr>
            <w:tcW w:w="907" w:type="dxa"/>
            <w:shd w:val="clear" w:color="auto" w:fill="auto"/>
            <w:vAlign w:val="center"/>
          </w:tcPr>
          <w:p w14:paraId="25E583A5" w14:textId="77777777" w:rsidR="00C90AAE" w:rsidRPr="006D2651" w:rsidRDefault="00C90AAE" w:rsidP="00A10F1B">
            <w:pPr>
              <w:spacing w:after="0"/>
              <w:jc w:val="center"/>
              <w:rPr>
                <w:rFonts w:ascii="Times New Roman" w:eastAsia="Times New Roman" w:hAnsi="Times New Roman"/>
                <w:sz w:val="20"/>
                <w:szCs w:val="20"/>
              </w:rPr>
            </w:pPr>
          </w:p>
        </w:tc>
        <w:tc>
          <w:tcPr>
            <w:tcW w:w="907" w:type="dxa"/>
            <w:shd w:val="clear" w:color="auto" w:fill="auto"/>
            <w:vAlign w:val="center"/>
          </w:tcPr>
          <w:p w14:paraId="70F80D7B"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772A1EE4"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25F010BC" w14:textId="77777777" w:rsidR="00C90AAE" w:rsidRPr="006D2651" w:rsidRDefault="00C90AAE" w:rsidP="00A10F1B">
            <w:pPr>
              <w:spacing w:after="0"/>
              <w:jc w:val="center"/>
              <w:rPr>
                <w:rFonts w:ascii="Times New Roman" w:eastAsia="Times New Roman" w:hAnsi="Times New Roman"/>
                <w:sz w:val="20"/>
                <w:szCs w:val="20"/>
              </w:rPr>
            </w:pPr>
          </w:p>
        </w:tc>
        <w:tc>
          <w:tcPr>
            <w:tcW w:w="1011" w:type="dxa"/>
            <w:shd w:val="clear" w:color="auto" w:fill="auto"/>
            <w:vAlign w:val="center"/>
          </w:tcPr>
          <w:p w14:paraId="05BEB22D" w14:textId="77777777" w:rsidR="00C90AAE" w:rsidRPr="006D2651" w:rsidRDefault="00C90AAE" w:rsidP="00A10F1B">
            <w:pPr>
              <w:spacing w:after="0"/>
              <w:jc w:val="center"/>
              <w:rPr>
                <w:rFonts w:ascii="Times New Roman" w:eastAsia="Times New Roman" w:hAnsi="Times New Roman"/>
                <w:sz w:val="20"/>
                <w:szCs w:val="20"/>
              </w:rPr>
            </w:pPr>
          </w:p>
        </w:tc>
        <w:tc>
          <w:tcPr>
            <w:tcW w:w="969" w:type="dxa"/>
            <w:shd w:val="clear" w:color="auto" w:fill="auto"/>
            <w:vAlign w:val="center"/>
          </w:tcPr>
          <w:p w14:paraId="7FC60C76" w14:textId="77777777" w:rsidR="00C90AAE" w:rsidRPr="006D2651" w:rsidRDefault="00C90AAE" w:rsidP="00A10F1B">
            <w:pPr>
              <w:spacing w:after="0"/>
              <w:jc w:val="center"/>
              <w:rPr>
                <w:rFonts w:ascii="Times New Roman" w:eastAsia="Times New Roman" w:hAnsi="Times New Roman"/>
                <w:sz w:val="20"/>
                <w:szCs w:val="20"/>
              </w:rPr>
            </w:pPr>
          </w:p>
        </w:tc>
        <w:tc>
          <w:tcPr>
            <w:tcW w:w="941" w:type="dxa"/>
            <w:shd w:val="clear" w:color="auto" w:fill="auto"/>
            <w:vAlign w:val="center"/>
          </w:tcPr>
          <w:p w14:paraId="6BD8F9D5" w14:textId="77777777" w:rsidR="00C90AAE" w:rsidRPr="006D2651" w:rsidRDefault="00C90AAE" w:rsidP="00A10F1B">
            <w:pPr>
              <w:spacing w:after="0"/>
              <w:jc w:val="center"/>
              <w:rPr>
                <w:rFonts w:ascii="Times New Roman" w:eastAsia="Times New Roman" w:hAnsi="Times New Roman"/>
                <w:sz w:val="20"/>
                <w:szCs w:val="20"/>
              </w:rPr>
            </w:pPr>
          </w:p>
        </w:tc>
      </w:tr>
      <w:tr w:rsidR="00C90AAE" w:rsidRPr="006D2651" w14:paraId="73DA1F42" w14:textId="77777777" w:rsidTr="00A10F1B">
        <w:trPr>
          <w:trHeight w:val="355"/>
        </w:trPr>
        <w:tc>
          <w:tcPr>
            <w:tcW w:w="2245" w:type="dxa"/>
            <w:shd w:val="clear" w:color="auto" w:fill="auto"/>
            <w:noWrap/>
            <w:vAlign w:val="center"/>
            <w:hideMark/>
          </w:tcPr>
          <w:p w14:paraId="49984519"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1209" w:type="dxa"/>
            <w:shd w:val="clear" w:color="auto" w:fill="auto"/>
            <w:vAlign w:val="center"/>
          </w:tcPr>
          <w:p w14:paraId="719FBE26"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907" w:type="dxa"/>
            <w:shd w:val="clear" w:color="auto" w:fill="auto"/>
            <w:vAlign w:val="center"/>
          </w:tcPr>
          <w:p w14:paraId="184EB17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907" w:type="dxa"/>
            <w:shd w:val="clear" w:color="auto" w:fill="auto"/>
            <w:vAlign w:val="center"/>
          </w:tcPr>
          <w:p w14:paraId="1DFBE1A7"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1011" w:type="dxa"/>
            <w:shd w:val="clear" w:color="auto" w:fill="auto"/>
            <w:vAlign w:val="center"/>
          </w:tcPr>
          <w:p w14:paraId="630C83F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1011" w:type="dxa"/>
            <w:shd w:val="clear" w:color="auto" w:fill="auto"/>
            <w:vAlign w:val="center"/>
          </w:tcPr>
          <w:p w14:paraId="722F21F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1011" w:type="dxa"/>
            <w:shd w:val="clear" w:color="auto" w:fill="auto"/>
            <w:vAlign w:val="center"/>
          </w:tcPr>
          <w:p w14:paraId="1538253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969" w:type="dxa"/>
            <w:shd w:val="clear" w:color="auto" w:fill="auto"/>
            <w:vAlign w:val="center"/>
          </w:tcPr>
          <w:p w14:paraId="25F909F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c>
          <w:tcPr>
            <w:tcW w:w="941" w:type="dxa"/>
            <w:shd w:val="clear" w:color="auto" w:fill="auto"/>
            <w:vAlign w:val="center"/>
          </w:tcPr>
          <w:p w14:paraId="5E01530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w:t>
            </w:r>
          </w:p>
        </w:tc>
      </w:tr>
      <w:tr w:rsidR="00C90AAE" w:rsidRPr="006D2651" w14:paraId="221A60D3" w14:textId="77777777" w:rsidTr="00A10F1B">
        <w:trPr>
          <w:trHeight w:val="355"/>
        </w:trPr>
        <w:tc>
          <w:tcPr>
            <w:tcW w:w="2245" w:type="dxa"/>
            <w:shd w:val="clear" w:color="auto" w:fill="auto"/>
            <w:noWrap/>
            <w:vAlign w:val="center"/>
            <w:hideMark/>
          </w:tcPr>
          <w:p w14:paraId="11EE1546"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lastRenderedPageBreak/>
              <w:t>Opex</w:t>
            </w:r>
            <w:proofErr w:type="spellEnd"/>
            <w:r w:rsidRPr="006D2651">
              <w:rPr>
                <w:rFonts w:ascii="Times New Roman" w:eastAsia="Times New Roman" w:hAnsi="Times New Roman"/>
                <w:sz w:val="20"/>
                <w:szCs w:val="20"/>
              </w:rPr>
              <w:t xml:space="preserve"> (₹/ crore)</w:t>
            </w:r>
          </w:p>
        </w:tc>
        <w:tc>
          <w:tcPr>
            <w:tcW w:w="1209" w:type="dxa"/>
            <w:shd w:val="clear" w:color="auto" w:fill="auto"/>
            <w:vAlign w:val="center"/>
          </w:tcPr>
          <w:p w14:paraId="75B2E04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145.45</w:t>
            </w:r>
          </w:p>
        </w:tc>
        <w:tc>
          <w:tcPr>
            <w:tcW w:w="907" w:type="dxa"/>
            <w:shd w:val="clear" w:color="auto" w:fill="auto"/>
            <w:vAlign w:val="center"/>
          </w:tcPr>
          <w:p w14:paraId="6A536A1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149.81</w:t>
            </w:r>
          </w:p>
        </w:tc>
        <w:tc>
          <w:tcPr>
            <w:tcW w:w="907" w:type="dxa"/>
            <w:shd w:val="clear" w:color="auto" w:fill="auto"/>
            <w:vAlign w:val="center"/>
          </w:tcPr>
          <w:p w14:paraId="1D1B0F3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154.31</w:t>
            </w:r>
          </w:p>
        </w:tc>
        <w:tc>
          <w:tcPr>
            <w:tcW w:w="1011" w:type="dxa"/>
            <w:shd w:val="clear" w:color="auto" w:fill="auto"/>
            <w:vAlign w:val="center"/>
          </w:tcPr>
          <w:p w14:paraId="32227BCE"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158.94</w:t>
            </w:r>
          </w:p>
        </w:tc>
        <w:tc>
          <w:tcPr>
            <w:tcW w:w="1011" w:type="dxa"/>
            <w:shd w:val="clear" w:color="auto" w:fill="auto"/>
            <w:vAlign w:val="center"/>
          </w:tcPr>
          <w:p w14:paraId="6FF45FB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163.71</w:t>
            </w:r>
          </w:p>
        </w:tc>
        <w:tc>
          <w:tcPr>
            <w:tcW w:w="1011" w:type="dxa"/>
            <w:shd w:val="clear" w:color="auto" w:fill="auto"/>
            <w:vAlign w:val="center"/>
          </w:tcPr>
          <w:p w14:paraId="0D09773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168.62</w:t>
            </w:r>
          </w:p>
        </w:tc>
        <w:tc>
          <w:tcPr>
            <w:tcW w:w="969" w:type="dxa"/>
            <w:shd w:val="clear" w:color="auto" w:fill="auto"/>
            <w:vAlign w:val="center"/>
          </w:tcPr>
          <w:p w14:paraId="3F2FD44C"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173.68</w:t>
            </w:r>
          </w:p>
        </w:tc>
        <w:tc>
          <w:tcPr>
            <w:tcW w:w="941" w:type="dxa"/>
            <w:shd w:val="clear" w:color="auto" w:fill="auto"/>
            <w:vAlign w:val="center"/>
          </w:tcPr>
          <w:p w14:paraId="28F0347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178.89</w:t>
            </w:r>
          </w:p>
        </w:tc>
      </w:tr>
      <w:tr w:rsidR="00C90AAE" w:rsidRPr="006D2651" w14:paraId="126408AC" w14:textId="77777777" w:rsidTr="00A10F1B">
        <w:trPr>
          <w:trHeight w:val="355"/>
        </w:trPr>
        <w:tc>
          <w:tcPr>
            <w:tcW w:w="2245" w:type="dxa"/>
            <w:shd w:val="clear" w:color="auto" w:fill="auto"/>
            <w:noWrap/>
            <w:vAlign w:val="center"/>
            <w:hideMark/>
          </w:tcPr>
          <w:p w14:paraId="69014814"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 flow Pre-Tax for project IRR (₹/ crore)</w:t>
            </w:r>
          </w:p>
        </w:tc>
        <w:tc>
          <w:tcPr>
            <w:tcW w:w="1209" w:type="dxa"/>
            <w:shd w:val="clear" w:color="auto" w:fill="auto"/>
            <w:vAlign w:val="center"/>
          </w:tcPr>
          <w:p w14:paraId="713727C4"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805.05</w:t>
            </w:r>
          </w:p>
        </w:tc>
        <w:tc>
          <w:tcPr>
            <w:tcW w:w="907" w:type="dxa"/>
            <w:shd w:val="clear" w:color="auto" w:fill="auto"/>
            <w:vAlign w:val="center"/>
          </w:tcPr>
          <w:p w14:paraId="6BFD77B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800.69</w:t>
            </w:r>
          </w:p>
        </w:tc>
        <w:tc>
          <w:tcPr>
            <w:tcW w:w="907" w:type="dxa"/>
            <w:shd w:val="clear" w:color="auto" w:fill="auto"/>
            <w:vAlign w:val="center"/>
          </w:tcPr>
          <w:p w14:paraId="75E7C9C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796.19</w:t>
            </w:r>
          </w:p>
        </w:tc>
        <w:tc>
          <w:tcPr>
            <w:tcW w:w="1011" w:type="dxa"/>
            <w:shd w:val="clear" w:color="auto" w:fill="auto"/>
            <w:vAlign w:val="center"/>
          </w:tcPr>
          <w:p w14:paraId="5835C192"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791.57</w:t>
            </w:r>
          </w:p>
        </w:tc>
        <w:tc>
          <w:tcPr>
            <w:tcW w:w="1011" w:type="dxa"/>
            <w:shd w:val="clear" w:color="auto" w:fill="auto"/>
            <w:vAlign w:val="center"/>
          </w:tcPr>
          <w:p w14:paraId="214FE0DF"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786.80</w:t>
            </w:r>
          </w:p>
        </w:tc>
        <w:tc>
          <w:tcPr>
            <w:tcW w:w="1011" w:type="dxa"/>
            <w:shd w:val="clear" w:color="auto" w:fill="auto"/>
            <w:vAlign w:val="center"/>
          </w:tcPr>
          <w:p w14:paraId="107294E5"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781.89</w:t>
            </w:r>
          </w:p>
        </w:tc>
        <w:tc>
          <w:tcPr>
            <w:tcW w:w="969" w:type="dxa"/>
            <w:shd w:val="clear" w:color="auto" w:fill="auto"/>
            <w:vAlign w:val="center"/>
          </w:tcPr>
          <w:p w14:paraId="16C6CC6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776.83</w:t>
            </w:r>
          </w:p>
        </w:tc>
        <w:tc>
          <w:tcPr>
            <w:tcW w:w="941" w:type="dxa"/>
            <w:shd w:val="clear" w:color="auto" w:fill="auto"/>
            <w:vAlign w:val="center"/>
          </w:tcPr>
          <w:p w14:paraId="639CD353"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color w:val="000000"/>
                <w:sz w:val="20"/>
                <w:szCs w:val="20"/>
              </w:rPr>
              <w:t>1,050.47</w:t>
            </w:r>
          </w:p>
        </w:tc>
      </w:tr>
    </w:tbl>
    <w:p w14:paraId="22AD6915" w14:textId="77777777" w:rsidR="00C90AAE" w:rsidRPr="006D2651" w:rsidRDefault="00C90AAE" w:rsidP="00C90AAE">
      <w:pPr>
        <w:spacing w:after="0"/>
        <w:jc w:val="both"/>
        <w:rPr>
          <w:rFonts w:ascii="Times New Roman" w:hAnsi="Times New Roman"/>
          <w:b/>
          <w:sz w:val="20"/>
          <w:szCs w:val="20"/>
        </w:rPr>
      </w:pPr>
    </w:p>
    <w:p w14:paraId="71A4FFC0" w14:textId="77777777" w:rsidR="00C90AAE" w:rsidRPr="006D2651" w:rsidRDefault="00C90AAE" w:rsidP="00C90AAE">
      <w:pPr>
        <w:jc w:val="both"/>
        <w:rPr>
          <w:rFonts w:ascii="Times New Roman" w:hAnsi="Times New Roman"/>
          <w:b/>
          <w:sz w:val="20"/>
          <w:szCs w:val="20"/>
        </w:rPr>
      </w:pPr>
      <w:r w:rsidRPr="006D2651">
        <w:rPr>
          <w:rFonts w:ascii="Times New Roman" w:hAnsi="Times New Roman"/>
          <w:b/>
          <w:sz w:val="20"/>
          <w:szCs w:val="20"/>
        </w:rPr>
        <w:t>Illustration -4 for Bid out pipeline</w:t>
      </w:r>
    </w:p>
    <w:p w14:paraId="61F460A2" w14:textId="10435A20" w:rsidR="00C90AAE" w:rsidRDefault="00C90AAE" w:rsidP="00C90AAE">
      <w:pPr>
        <w:spacing w:after="80"/>
        <w:jc w:val="both"/>
        <w:rPr>
          <w:rFonts w:ascii="Times New Roman" w:hAnsi="Times New Roman"/>
          <w:sz w:val="20"/>
          <w:szCs w:val="20"/>
        </w:rPr>
      </w:pPr>
      <w:r w:rsidRPr="006D2651">
        <w:rPr>
          <w:rFonts w:ascii="Times New Roman" w:hAnsi="Times New Roman"/>
          <w:sz w:val="20"/>
          <w:szCs w:val="20"/>
        </w:rPr>
        <w:t>A petroleum product pipeline of length 770 km transporting product is assumed to have an injection point at A and multiple tap-off points (TOP) at B, C and D. Product flow is assumed only from injection at A to TOP B which is at a distance of 770 km. The pipeline has been commissioned under sub regulation 5 of the regulation 3 and tariff for the first 10 years is as per the tariff rate quoted in the bid.</w:t>
      </w:r>
    </w:p>
    <w:p w14:paraId="02E53467" w14:textId="0F06B745" w:rsidR="00C34994" w:rsidRDefault="00C34994" w:rsidP="00C90AAE">
      <w:pPr>
        <w:spacing w:after="80"/>
        <w:jc w:val="both"/>
        <w:rPr>
          <w:rFonts w:ascii="Times New Roman" w:hAnsi="Times New Roman"/>
          <w:sz w:val="20"/>
          <w:szCs w:val="20"/>
        </w:rPr>
      </w:pPr>
    </w:p>
    <w:p w14:paraId="0FB19235" w14:textId="77777777" w:rsidR="00C34994" w:rsidRPr="006D2651" w:rsidRDefault="00C34994" w:rsidP="00C90AAE">
      <w:pPr>
        <w:spacing w:after="80"/>
        <w:jc w:val="both"/>
        <w:rPr>
          <w:rFonts w:ascii="Times New Roman" w:hAnsi="Times New Roman"/>
          <w:sz w:val="20"/>
          <w:szCs w:val="20"/>
        </w:rPr>
      </w:pPr>
    </w:p>
    <w:p w14:paraId="772C18AA"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 xml:space="preserve">The capacity of the pipeline is considered as 10 MMTPA and diameter is considered as 24 inches and pipeline is assumed to commence its operations from 2014. The capex and </w:t>
      </w:r>
      <w:proofErr w:type="spellStart"/>
      <w:r w:rsidRPr="006D2651">
        <w:rPr>
          <w:rFonts w:ascii="Times New Roman" w:hAnsi="Times New Roman"/>
          <w:sz w:val="20"/>
          <w:szCs w:val="20"/>
        </w:rPr>
        <w:t>opex</w:t>
      </w:r>
      <w:proofErr w:type="spellEnd"/>
      <w:r w:rsidRPr="006D2651">
        <w:rPr>
          <w:rFonts w:ascii="Times New Roman" w:hAnsi="Times New Roman"/>
          <w:sz w:val="20"/>
          <w:szCs w:val="20"/>
        </w:rPr>
        <w:t xml:space="preserve"> numbers are assumed to be taken from the bid documents.</w:t>
      </w:r>
    </w:p>
    <w:p w14:paraId="71BB2E96" w14:textId="77777777" w:rsidR="00C90AAE" w:rsidRPr="006D2651" w:rsidRDefault="00C90AAE" w:rsidP="00C90AAE">
      <w:pPr>
        <w:spacing w:after="80"/>
        <w:jc w:val="both"/>
        <w:rPr>
          <w:rFonts w:ascii="Times New Roman" w:hAnsi="Times New Roman"/>
          <w:sz w:val="20"/>
          <w:szCs w:val="20"/>
        </w:rPr>
      </w:pPr>
      <w:r w:rsidRPr="006D2651">
        <w:rPr>
          <w:rFonts w:ascii="Times New Roman" w:hAnsi="Times New Roman"/>
          <w:sz w:val="20"/>
          <w:szCs w:val="20"/>
        </w:rPr>
        <w:t>The actual volumes of product transported have been considered basis normative volumes (in MMTPA) as per the table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67"/>
        <w:gridCol w:w="525"/>
        <w:gridCol w:w="816"/>
        <w:gridCol w:w="816"/>
        <w:gridCol w:w="816"/>
        <w:gridCol w:w="816"/>
        <w:gridCol w:w="816"/>
        <w:gridCol w:w="816"/>
        <w:gridCol w:w="816"/>
        <w:gridCol w:w="816"/>
        <w:gridCol w:w="602"/>
        <w:gridCol w:w="567"/>
        <w:gridCol w:w="567"/>
      </w:tblGrid>
      <w:tr w:rsidR="00C90AAE" w:rsidRPr="006D2651" w14:paraId="38FF2836" w14:textId="77777777" w:rsidTr="00A10F1B">
        <w:trPr>
          <w:trHeight w:val="435"/>
        </w:trPr>
        <w:tc>
          <w:tcPr>
            <w:tcW w:w="567" w:type="dxa"/>
            <w:shd w:val="clear" w:color="auto" w:fill="auto"/>
            <w:noWrap/>
            <w:vAlign w:val="center"/>
          </w:tcPr>
          <w:p w14:paraId="34F7220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w:t>
            </w:r>
          </w:p>
        </w:tc>
        <w:tc>
          <w:tcPr>
            <w:tcW w:w="525" w:type="dxa"/>
            <w:shd w:val="clear" w:color="auto" w:fill="auto"/>
            <w:noWrap/>
            <w:vAlign w:val="center"/>
          </w:tcPr>
          <w:p w14:paraId="07E087C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w:t>
            </w:r>
          </w:p>
        </w:tc>
        <w:tc>
          <w:tcPr>
            <w:tcW w:w="816" w:type="dxa"/>
            <w:shd w:val="clear" w:color="auto" w:fill="auto"/>
            <w:noWrap/>
            <w:vAlign w:val="center"/>
          </w:tcPr>
          <w:p w14:paraId="4BC4FFE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Y3</w:t>
            </w:r>
          </w:p>
        </w:tc>
        <w:tc>
          <w:tcPr>
            <w:tcW w:w="816" w:type="dxa"/>
            <w:shd w:val="clear" w:color="auto" w:fill="auto"/>
            <w:noWrap/>
            <w:vAlign w:val="center"/>
          </w:tcPr>
          <w:p w14:paraId="5F9B413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Y4</w:t>
            </w:r>
          </w:p>
        </w:tc>
        <w:tc>
          <w:tcPr>
            <w:tcW w:w="816" w:type="dxa"/>
            <w:shd w:val="clear" w:color="auto" w:fill="auto"/>
            <w:noWrap/>
            <w:vAlign w:val="center"/>
          </w:tcPr>
          <w:p w14:paraId="622219E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Y5</w:t>
            </w:r>
          </w:p>
        </w:tc>
        <w:tc>
          <w:tcPr>
            <w:tcW w:w="816" w:type="dxa"/>
            <w:shd w:val="clear" w:color="auto" w:fill="auto"/>
            <w:noWrap/>
            <w:vAlign w:val="center"/>
          </w:tcPr>
          <w:p w14:paraId="51485F8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Y6</w:t>
            </w:r>
          </w:p>
        </w:tc>
        <w:tc>
          <w:tcPr>
            <w:tcW w:w="816" w:type="dxa"/>
            <w:shd w:val="clear" w:color="auto" w:fill="auto"/>
            <w:noWrap/>
            <w:vAlign w:val="center"/>
          </w:tcPr>
          <w:p w14:paraId="60848E4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Y7</w:t>
            </w:r>
          </w:p>
        </w:tc>
        <w:tc>
          <w:tcPr>
            <w:tcW w:w="816" w:type="dxa"/>
            <w:shd w:val="clear" w:color="auto" w:fill="auto"/>
            <w:noWrap/>
            <w:vAlign w:val="center"/>
          </w:tcPr>
          <w:p w14:paraId="5852753C"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Y8</w:t>
            </w:r>
          </w:p>
        </w:tc>
        <w:tc>
          <w:tcPr>
            <w:tcW w:w="816" w:type="dxa"/>
            <w:shd w:val="clear" w:color="auto" w:fill="auto"/>
            <w:noWrap/>
            <w:vAlign w:val="center"/>
          </w:tcPr>
          <w:p w14:paraId="6E6850E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Y9</w:t>
            </w:r>
          </w:p>
        </w:tc>
        <w:tc>
          <w:tcPr>
            <w:tcW w:w="816" w:type="dxa"/>
            <w:shd w:val="clear" w:color="auto" w:fill="auto"/>
            <w:noWrap/>
            <w:vAlign w:val="center"/>
          </w:tcPr>
          <w:p w14:paraId="32F5243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Y10</w:t>
            </w:r>
          </w:p>
        </w:tc>
        <w:tc>
          <w:tcPr>
            <w:tcW w:w="602" w:type="dxa"/>
            <w:shd w:val="clear" w:color="auto" w:fill="auto"/>
            <w:noWrap/>
            <w:vAlign w:val="center"/>
          </w:tcPr>
          <w:p w14:paraId="017AE13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567" w:type="dxa"/>
            <w:shd w:val="clear" w:color="auto" w:fill="auto"/>
            <w:noWrap/>
            <w:vAlign w:val="center"/>
          </w:tcPr>
          <w:p w14:paraId="621DE9C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567" w:type="dxa"/>
            <w:shd w:val="clear" w:color="auto" w:fill="auto"/>
            <w:vAlign w:val="center"/>
          </w:tcPr>
          <w:p w14:paraId="309E03A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r>
      <w:tr w:rsidR="00C90AAE" w:rsidRPr="006D2651" w14:paraId="3294AA43" w14:textId="77777777" w:rsidTr="00A10F1B">
        <w:trPr>
          <w:trHeight w:val="435"/>
        </w:trPr>
        <w:tc>
          <w:tcPr>
            <w:tcW w:w="567" w:type="dxa"/>
            <w:shd w:val="clear" w:color="auto" w:fill="auto"/>
            <w:noWrap/>
            <w:vAlign w:val="center"/>
          </w:tcPr>
          <w:p w14:paraId="2FB673D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sz w:val="20"/>
                <w:szCs w:val="20"/>
              </w:rPr>
              <w:t>2.25</w:t>
            </w:r>
          </w:p>
        </w:tc>
        <w:tc>
          <w:tcPr>
            <w:tcW w:w="525" w:type="dxa"/>
            <w:shd w:val="clear" w:color="auto" w:fill="auto"/>
            <w:noWrap/>
            <w:vAlign w:val="center"/>
          </w:tcPr>
          <w:p w14:paraId="0586B8E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hAnsi="Times New Roman"/>
                <w:sz w:val="20"/>
                <w:szCs w:val="20"/>
              </w:rPr>
              <w:t>2.63</w:t>
            </w:r>
          </w:p>
        </w:tc>
        <w:tc>
          <w:tcPr>
            <w:tcW w:w="816" w:type="dxa"/>
            <w:shd w:val="clear" w:color="auto" w:fill="auto"/>
            <w:noWrap/>
            <w:vAlign w:val="center"/>
          </w:tcPr>
          <w:p w14:paraId="1C6F44F1"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3.00 </w:t>
            </w:r>
          </w:p>
        </w:tc>
        <w:tc>
          <w:tcPr>
            <w:tcW w:w="816" w:type="dxa"/>
            <w:shd w:val="clear" w:color="auto" w:fill="auto"/>
            <w:noWrap/>
            <w:vAlign w:val="center"/>
          </w:tcPr>
          <w:p w14:paraId="73B483AD"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3.38 </w:t>
            </w:r>
          </w:p>
        </w:tc>
        <w:tc>
          <w:tcPr>
            <w:tcW w:w="816" w:type="dxa"/>
            <w:shd w:val="clear" w:color="auto" w:fill="auto"/>
            <w:noWrap/>
            <w:vAlign w:val="center"/>
          </w:tcPr>
          <w:p w14:paraId="6F2C718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3.75 </w:t>
            </w:r>
          </w:p>
        </w:tc>
        <w:tc>
          <w:tcPr>
            <w:tcW w:w="816" w:type="dxa"/>
            <w:shd w:val="clear" w:color="auto" w:fill="auto"/>
            <w:noWrap/>
            <w:vAlign w:val="center"/>
          </w:tcPr>
          <w:p w14:paraId="170CB857"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4.50 </w:t>
            </w:r>
          </w:p>
        </w:tc>
        <w:tc>
          <w:tcPr>
            <w:tcW w:w="816" w:type="dxa"/>
            <w:shd w:val="clear" w:color="auto" w:fill="auto"/>
            <w:noWrap/>
            <w:vAlign w:val="center"/>
          </w:tcPr>
          <w:p w14:paraId="5E08A929"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5.25 </w:t>
            </w:r>
          </w:p>
        </w:tc>
        <w:tc>
          <w:tcPr>
            <w:tcW w:w="816" w:type="dxa"/>
            <w:shd w:val="clear" w:color="auto" w:fill="auto"/>
            <w:noWrap/>
            <w:vAlign w:val="center"/>
          </w:tcPr>
          <w:p w14:paraId="0D4E75A5"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6.00 </w:t>
            </w:r>
          </w:p>
        </w:tc>
        <w:tc>
          <w:tcPr>
            <w:tcW w:w="816" w:type="dxa"/>
            <w:shd w:val="clear" w:color="auto" w:fill="auto"/>
            <w:noWrap/>
            <w:vAlign w:val="center"/>
          </w:tcPr>
          <w:p w14:paraId="1603F61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6.75 </w:t>
            </w:r>
          </w:p>
        </w:tc>
        <w:tc>
          <w:tcPr>
            <w:tcW w:w="816" w:type="dxa"/>
            <w:shd w:val="clear" w:color="auto" w:fill="auto"/>
            <w:noWrap/>
            <w:vAlign w:val="center"/>
          </w:tcPr>
          <w:p w14:paraId="3103835A"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7.50 </w:t>
            </w:r>
          </w:p>
        </w:tc>
        <w:tc>
          <w:tcPr>
            <w:tcW w:w="602" w:type="dxa"/>
            <w:shd w:val="clear" w:color="auto" w:fill="auto"/>
            <w:noWrap/>
            <w:vAlign w:val="center"/>
          </w:tcPr>
          <w:p w14:paraId="6ED2EEBB"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7.50 </w:t>
            </w:r>
          </w:p>
        </w:tc>
        <w:tc>
          <w:tcPr>
            <w:tcW w:w="567" w:type="dxa"/>
            <w:shd w:val="clear" w:color="auto" w:fill="auto"/>
            <w:noWrap/>
            <w:vAlign w:val="center"/>
          </w:tcPr>
          <w:p w14:paraId="2D1D7060"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7.50 </w:t>
            </w:r>
          </w:p>
        </w:tc>
        <w:tc>
          <w:tcPr>
            <w:tcW w:w="567" w:type="dxa"/>
            <w:shd w:val="clear" w:color="auto" w:fill="auto"/>
            <w:vAlign w:val="center"/>
          </w:tcPr>
          <w:p w14:paraId="5D6CD0D7" w14:textId="77777777" w:rsidR="00C90AAE" w:rsidRPr="006D2651" w:rsidRDefault="00C90AAE" w:rsidP="00A10F1B">
            <w:pPr>
              <w:spacing w:after="0"/>
              <w:jc w:val="center"/>
              <w:rPr>
                <w:rFonts w:ascii="Times New Roman" w:hAnsi="Times New Roman"/>
                <w:sz w:val="20"/>
                <w:szCs w:val="20"/>
              </w:rPr>
            </w:pPr>
            <w:r w:rsidRPr="006D2651">
              <w:rPr>
                <w:rFonts w:ascii="Times New Roman" w:hAnsi="Times New Roman"/>
                <w:sz w:val="20"/>
                <w:szCs w:val="20"/>
              </w:rPr>
              <w:t xml:space="preserve">7.50 </w:t>
            </w:r>
          </w:p>
        </w:tc>
      </w:tr>
      <w:tr w:rsidR="00C90AAE" w:rsidRPr="006D2651" w14:paraId="38DD0033" w14:textId="77777777" w:rsidTr="00A10F1B">
        <w:trPr>
          <w:trHeight w:val="435"/>
        </w:trPr>
        <w:tc>
          <w:tcPr>
            <w:tcW w:w="567" w:type="dxa"/>
            <w:shd w:val="clear" w:color="auto" w:fill="auto"/>
            <w:noWrap/>
            <w:vAlign w:val="center"/>
          </w:tcPr>
          <w:p w14:paraId="0C54A43C"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525" w:type="dxa"/>
            <w:shd w:val="clear" w:color="auto" w:fill="auto"/>
            <w:noWrap/>
            <w:vAlign w:val="center"/>
          </w:tcPr>
          <w:p w14:paraId="262D47B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816" w:type="dxa"/>
            <w:shd w:val="clear" w:color="auto" w:fill="auto"/>
            <w:noWrap/>
            <w:vAlign w:val="center"/>
          </w:tcPr>
          <w:p w14:paraId="32263BD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816" w:type="dxa"/>
            <w:shd w:val="clear" w:color="auto" w:fill="auto"/>
            <w:noWrap/>
            <w:vAlign w:val="center"/>
          </w:tcPr>
          <w:p w14:paraId="7FD2453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c>
          <w:tcPr>
            <w:tcW w:w="816" w:type="dxa"/>
            <w:shd w:val="clear" w:color="auto" w:fill="auto"/>
            <w:noWrap/>
            <w:vAlign w:val="center"/>
          </w:tcPr>
          <w:p w14:paraId="40B69CA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816" w:type="dxa"/>
            <w:shd w:val="clear" w:color="auto" w:fill="auto"/>
            <w:noWrap/>
            <w:vAlign w:val="center"/>
          </w:tcPr>
          <w:p w14:paraId="38A4CA1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816" w:type="dxa"/>
            <w:shd w:val="clear" w:color="auto" w:fill="auto"/>
            <w:noWrap/>
            <w:vAlign w:val="center"/>
          </w:tcPr>
          <w:p w14:paraId="24E9FE98"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816" w:type="dxa"/>
            <w:shd w:val="clear" w:color="auto" w:fill="auto"/>
            <w:noWrap/>
            <w:vAlign w:val="center"/>
          </w:tcPr>
          <w:p w14:paraId="3FD8DB1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816" w:type="dxa"/>
            <w:shd w:val="clear" w:color="auto" w:fill="auto"/>
            <w:noWrap/>
            <w:vAlign w:val="center"/>
          </w:tcPr>
          <w:p w14:paraId="7D5910C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816" w:type="dxa"/>
            <w:shd w:val="clear" w:color="auto" w:fill="auto"/>
            <w:noWrap/>
            <w:vAlign w:val="center"/>
          </w:tcPr>
          <w:p w14:paraId="5CE6DC2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602" w:type="dxa"/>
            <w:shd w:val="clear" w:color="auto" w:fill="auto"/>
            <w:noWrap/>
            <w:vAlign w:val="center"/>
          </w:tcPr>
          <w:p w14:paraId="1F98568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567" w:type="dxa"/>
            <w:shd w:val="clear" w:color="auto" w:fill="auto"/>
            <w:noWrap/>
            <w:vAlign w:val="center"/>
          </w:tcPr>
          <w:p w14:paraId="323C3FC7"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c>
          <w:tcPr>
            <w:tcW w:w="567" w:type="dxa"/>
            <w:shd w:val="clear" w:color="auto" w:fill="auto"/>
          </w:tcPr>
          <w:p w14:paraId="4C677AC0" w14:textId="77777777" w:rsidR="00C90AAE" w:rsidRPr="006D2651" w:rsidRDefault="00C90AAE" w:rsidP="00A10F1B">
            <w:pPr>
              <w:spacing w:after="0"/>
              <w:jc w:val="center"/>
              <w:rPr>
                <w:rFonts w:ascii="Times New Roman" w:eastAsia="Times New Roman" w:hAnsi="Times New Roman"/>
                <w:b/>
                <w:sz w:val="20"/>
                <w:szCs w:val="20"/>
              </w:rPr>
            </w:pPr>
          </w:p>
        </w:tc>
      </w:tr>
      <w:tr w:rsidR="00C90AAE" w:rsidRPr="006D2651" w14:paraId="19DFA5E0" w14:textId="77777777" w:rsidTr="00A10F1B">
        <w:trPr>
          <w:trHeight w:val="435"/>
        </w:trPr>
        <w:tc>
          <w:tcPr>
            <w:tcW w:w="567" w:type="dxa"/>
            <w:shd w:val="clear" w:color="auto" w:fill="auto"/>
            <w:noWrap/>
            <w:vAlign w:val="center"/>
          </w:tcPr>
          <w:p w14:paraId="115D8650"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525" w:type="dxa"/>
            <w:shd w:val="clear" w:color="auto" w:fill="auto"/>
            <w:noWrap/>
            <w:vAlign w:val="center"/>
          </w:tcPr>
          <w:p w14:paraId="4BF6601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45D20317"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24CD58EE"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74D9788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55F2AE1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5A0E4FCC"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721826F7"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239BB41D"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816" w:type="dxa"/>
            <w:shd w:val="clear" w:color="auto" w:fill="auto"/>
            <w:noWrap/>
            <w:vAlign w:val="center"/>
          </w:tcPr>
          <w:p w14:paraId="2759830B"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602" w:type="dxa"/>
            <w:shd w:val="clear" w:color="auto" w:fill="auto"/>
            <w:noWrap/>
            <w:vAlign w:val="center"/>
          </w:tcPr>
          <w:p w14:paraId="300513EA"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567" w:type="dxa"/>
            <w:shd w:val="clear" w:color="auto" w:fill="auto"/>
            <w:noWrap/>
            <w:vAlign w:val="center"/>
          </w:tcPr>
          <w:p w14:paraId="4DD9C675" w14:textId="77777777" w:rsidR="00C90AAE" w:rsidRPr="006D2651" w:rsidRDefault="00C90AAE" w:rsidP="00A10F1B">
            <w:pPr>
              <w:spacing w:after="0"/>
              <w:jc w:val="center"/>
              <w:rPr>
                <w:rFonts w:ascii="Times New Roman" w:eastAsia="Times New Roman" w:hAnsi="Times New Roman"/>
                <w:sz w:val="20"/>
                <w:szCs w:val="20"/>
              </w:rPr>
            </w:pPr>
            <w:r w:rsidRPr="006D2651">
              <w:rPr>
                <w:rFonts w:ascii="Times New Roman" w:hAnsi="Times New Roman"/>
                <w:sz w:val="20"/>
                <w:szCs w:val="20"/>
              </w:rPr>
              <w:t xml:space="preserve">7.50 </w:t>
            </w:r>
          </w:p>
        </w:tc>
        <w:tc>
          <w:tcPr>
            <w:tcW w:w="567" w:type="dxa"/>
            <w:shd w:val="clear" w:color="auto" w:fill="auto"/>
          </w:tcPr>
          <w:p w14:paraId="369F572A" w14:textId="77777777" w:rsidR="00C90AAE" w:rsidRPr="006D2651" w:rsidRDefault="00C90AAE" w:rsidP="00A10F1B">
            <w:pPr>
              <w:spacing w:after="0"/>
              <w:jc w:val="center"/>
              <w:rPr>
                <w:rFonts w:ascii="Times New Roman" w:hAnsi="Times New Roman"/>
                <w:sz w:val="20"/>
                <w:szCs w:val="20"/>
              </w:rPr>
            </w:pPr>
          </w:p>
        </w:tc>
      </w:tr>
    </w:tbl>
    <w:p w14:paraId="33EB3E05" w14:textId="77777777" w:rsidR="00C90AAE" w:rsidRPr="006D2651" w:rsidRDefault="00C90AAE" w:rsidP="00C90AAE">
      <w:pPr>
        <w:spacing w:before="160" w:after="0"/>
        <w:jc w:val="both"/>
        <w:rPr>
          <w:rFonts w:ascii="Times New Roman" w:hAnsi="Times New Roman"/>
          <w:sz w:val="20"/>
          <w:szCs w:val="20"/>
        </w:rPr>
      </w:pPr>
      <w:r w:rsidRPr="006D2651">
        <w:rPr>
          <w:rFonts w:ascii="Times New Roman" w:hAnsi="Times New Roman"/>
          <w:sz w:val="20"/>
          <w:szCs w:val="20"/>
        </w:rPr>
        <w:t>Cashflows for these 10 years are as per the table below: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87"/>
        <w:gridCol w:w="1065"/>
        <w:gridCol w:w="967"/>
        <w:gridCol w:w="1017"/>
        <w:gridCol w:w="992"/>
        <w:gridCol w:w="993"/>
        <w:gridCol w:w="1134"/>
      </w:tblGrid>
      <w:tr w:rsidR="00C90AAE" w:rsidRPr="006D2651" w14:paraId="0EF4D3AC" w14:textId="77777777" w:rsidTr="00A10F1B">
        <w:trPr>
          <w:trHeight w:val="232"/>
          <w:tblHeader/>
        </w:trPr>
        <w:tc>
          <w:tcPr>
            <w:tcW w:w="1843" w:type="dxa"/>
            <w:shd w:val="clear" w:color="auto" w:fill="auto"/>
            <w:noWrap/>
            <w:vAlign w:val="center"/>
            <w:hideMark/>
          </w:tcPr>
          <w:p w14:paraId="62B70FC5"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487" w:type="dxa"/>
            <w:shd w:val="clear" w:color="auto" w:fill="auto"/>
            <w:vAlign w:val="center"/>
          </w:tcPr>
          <w:p w14:paraId="23E4DD1F"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1065" w:type="dxa"/>
            <w:shd w:val="clear" w:color="auto" w:fill="auto"/>
            <w:noWrap/>
            <w:vAlign w:val="center"/>
            <w:hideMark/>
          </w:tcPr>
          <w:p w14:paraId="1E03BEF6"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 -1</w:t>
            </w:r>
          </w:p>
        </w:tc>
        <w:tc>
          <w:tcPr>
            <w:tcW w:w="967" w:type="dxa"/>
            <w:shd w:val="clear" w:color="auto" w:fill="auto"/>
            <w:noWrap/>
            <w:vAlign w:val="center"/>
            <w:hideMark/>
          </w:tcPr>
          <w:p w14:paraId="10C1AEE6"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Y1</w:t>
            </w:r>
          </w:p>
        </w:tc>
        <w:tc>
          <w:tcPr>
            <w:tcW w:w="1017" w:type="dxa"/>
            <w:shd w:val="clear" w:color="auto" w:fill="auto"/>
            <w:noWrap/>
            <w:vAlign w:val="center"/>
            <w:hideMark/>
          </w:tcPr>
          <w:p w14:paraId="715F64A0"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Y2</w:t>
            </w:r>
          </w:p>
        </w:tc>
        <w:tc>
          <w:tcPr>
            <w:tcW w:w="992" w:type="dxa"/>
            <w:shd w:val="clear" w:color="auto" w:fill="auto"/>
            <w:noWrap/>
            <w:vAlign w:val="center"/>
            <w:hideMark/>
          </w:tcPr>
          <w:p w14:paraId="73A43B5E"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Y3</w:t>
            </w:r>
          </w:p>
        </w:tc>
        <w:tc>
          <w:tcPr>
            <w:tcW w:w="993" w:type="dxa"/>
            <w:shd w:val="clear" w:color="auto" w:fill="auto"/>
            <w:noWrap/>
            <w:vAlign w:val="center"/>
            <w:hideMark/>
          </w:tcPr>
          <w:p w14:paraId="7E867F0E"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Y4</w:t>
            </w:r>
          </w:p>
        </w:tc>
        <w:tc>
          <w:tcPr>
            <w:tcW w:w="1134" w:type="dxa"/>
            <w:shd w:val="clear" w:color="auto" w:fill="auto"/>
            <w:noWrap/>
            <w:vAlign w:val="center"/>
            <w:hideMark/>
          </w:tcPr>
          <w:p w14:paraId="08C52A4F"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Y5</w:t>
            </w:r>
          </w:p>
        </w:tc>
      </w:tr>
      <w:tr w:rsidR="00C90AAE" w:rsidRPr="006D2651" w14:paraId="31B20815" w14:textId="77777777" w:rsidTr="00A10F1B">
        <w:trPr>
          <w:trHeight w:val="232"/>
        </w:trPr>
        <w:tc>
          <w:tcPr>
            <w:tcW w:w="1843" w:type="dxa"/>
            <w:shd w:val="clear" w:color="auto" w:fill="auto"/>
            <w:noWrap/>
            <w:vAlign w:val="center"/>
            <w:hideMark/>
          </w:tcPr>
          <w:p w14:paraId="61691F16"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Fixed Bid Tariff (₹/MT)</w:t>
            </w:r>
          </w:p>
        </w:tc>
        <w:tc>
          <w:tcPr>
            <w:tcW w:w="1487" w:type="dxa"/>
            <w:shd w:val="clear" w:color="auto" w:fill="auto"/>
            <w:vAlign w:val="center"/>
          </w:tcPr>
          <w:p w14:paraId="18DA7246"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A</w:t>
            </w:r>
          </w:p>
        </w:tc>
        <w:tc>
          <w:tcPr>
            <w:tcW w:w="1065" w:type="dxa"/>
            <w:shd w:val="clear" w:color="auto" w:fill="auto"/>
            <w:noWrap/>
            <w:vAlign w:val="center"/>
          </w:tcPr>
          <w:p w14:paraId="0F5EB4C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967" w:type="dxa"/>
            <w:shd w:val="clear" w:color="auto" w:fill="auto"/>
            <w:noWrap/>
            <w:vAlign w:val="center"/>
          </w:tcPr>
          <w:p w14:paraId="3F493B5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017" w:type="dxa"/>
            <w:shd w:val="clear" w:color="auto" w:fill="auto"/>
            <w:noWrap/>
            <w:vAlign w:val="center"/>
          </w:tcPr>
          <w:p w14:paraId="7776294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992" w:type="dxa"/>
            <w:shd w:val="clear" w:color="auto" w:fill="auto"/>
            <w:noWrap/>
            <w:vAlign w:val="center"/>
          </w:tcPr>
          <w:p w14:paraId="0B1B981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993" w:type="dxa"/>
            <w:shd w:val="clear" w:color="auto" w:fill="auto"/>
            <w:noWrap/>
            <w:vAlign w:val="center"/>
          </w:tcPr>
          <w:p w14:paraId="3CA65C7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134" w:type="dxa"/>
            <w:shd w:val="clear" w:color="auto" w:fill="auto"/>
            <w:noWrap/>
            <w:vAlign w:val="center"/>
          </w:tcPr>
          <w:p w14:paraId="5536C86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r>
      <w:tr w:rsidR="00C90AAE" w:rsidRPr="006D2651" w14:paraId="2E535594" w14:textId="77777777" w:rsidTr="00A10F1B">
        <w:trPr>
          <w:trHeight w:val="232"/>
        </w:trPr>
        <w:tc>
          <w:tcPr>
            <w:tcW w:w="1843" w:type="dxa"/>
            <w:shd w:val="clear" w:color="auto" w:fill="auto"/>
            <w:noWrap/>
            <w:vAlign w:val="center"/>
          </w:tcPr>
          <w:p w14:paraId="15ECD51D"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Variable Bid Tariff (₹/MT/km)</w:t>
            </w:r>
          </w:p>
        </w:tc>
        <w:tc>
          <w:tcPr>
            <w:tcW w:w="1487" w:type="dxa"/>
            <w:shd w:val="clear" w:color="auto" w:fill="auto"/>
            <w:vAlign w:val="center"/>
          </w:tcPr>
          <w:p w14:paraId="39B877F3"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V</w:t>
            </w:r>
          </w:p>
        </w:tc>
        <w:tc>
          <w:tcPr>
            <w:tcW w:w="1065" w:type="dxa"/>
            <w:shd w:val="clear" w:color="auto" w:fill="auto"/>
            <w:noWrap/>
            <w:vAlign w:val="bottom"/>
          </w:tcPr>
          <w:p w14:paraId="74DE8AE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967" w:type="dxa"/>
            <w:shd w:val="clear" w:color="auto" w:fill="auto"/>
            <w:noWrap/>
            <w:vAlign w:val="bottom"/>
          </w:tcPr>
          <w:p w14:paraId="1882BF4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2.24 </w:t>
            </w:r>
          </w:p>
        </w:tc>
        <w:tc>
          <w:tcPr>
            <w:tcW w:w="1017" w:type="dxa"/>
            <w:shd w:val="clear" w:color="auto" w:fill="auto"/>
            <w:noWrap/>
            <w:vAlign w:val="bottom"/>
          </w:tcPr>
          <w:p w14:paraId="6AF0725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2.98 </w:t>
            </w:r>
          </w:p>
        </w:tc>
        <w:tc>
          <w:tcPr>
            <w:tcW w:w="992" w:type="dxa"/>
            <w:shd w:val="clear" w:color="auto" w:fill="auto"/>
            <w:noWrap/>
            <w:vAlign w:val="bottom"/>
          </w:tcPr>
          <w:p w14:paraId="255F36E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3.46 </w:t>
            </w:r>
          </w:p>
        </w:tc>
        <w:tc>
          <w:tcPr>
            <w:tcW w:w="993" w:type="dxa"/>
            <w:shd w:val="clear" w:color="auto" w:fill="auto"/>
            <w:noWrap/>
            <w:vAlign w:val="bottom"/>
          </w:tcPr>
          <w:p w14:paraId="50C9A72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3.86 </w:t>
            </w:r>
          </w:p>
        </w:tc>
        <w:tc>
          <w:tcPr>
            <w:tcW w:w="1134" w:type="dxa"/>
            <w:shd w:val="clear" w:color="auto" w:fill="auto"/>
            <w:noWrap/>
            <w:vAlign w:val="bottom"/>
          </w:tcPr>
          <w:p w14:paraId="631EC40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4.26 </w:t>
            </w:r>
          </w:p>
        </w:tc>
      </w:tr>
      <w:tr w:rsidR="00C90AAE" w:rsidRPr="006D2651" w14:paraId="1B27EBEB" w14:textId="77777777" w:rsidTr="00A10F1B">
        <w:trPr>
          <w:trHeight w:val="232"/>
        </w:trPr>
        <w:tc>
          <w:tcPr>
            <w:tcW w:w="1843" w:type="dxa"/>
            <w:shd w:val="clear" w:color="auto" w:fill="auto"/>
            <w:noWrap/>
            <w:vAlign w:val="center"/>
            <w:hideMark/>
          </w:tcPr>
          <w:p w14:paraId="4E06CD1B" w14:textId="77777777" w:rsidR="00C90AAE" w:rsidRPr="006D2651" w:rsidRDefault="00C90AAE" w:rsidP="00A10F1B">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Cash Inflow</w:t>
            </w:r>
          </w:p>
        </w:tc>
        <w:tc>
          <w:tcPr>
            <w:tcW w:w="1487" w:type="dxa"/>
            <w:shd w:val="clear" w:color="auto" w:fill="auto"/>
            <w:vAlign w:val="center"/>
          </w:tcPr>
          <w:p w14:paraId="75F76371" w14:textId="77777777" w:rsidR="00C90AAE" w:rsidRPr="006D2651" w:rsidRDefault="00C90AAE" w:rsidP="00A10F1B">
            <w:pPr>
              <w:spacing w:after="0"/>
              <w:rPr>
                <w:rFonts w:ascii="Times New Roman" w:eastAsia="Times New Roman" w:hAnsi="Times New Roman"/>
                <w:sz w:val="20"/>
                <w:szCs w:val="20"/>
              </w:rPr>
            </w:pPr>
          </w:p>
        </w:tc>
        <w:tc>
          <w:tcPr>
            <w:tcW w:w="1065" w:type="dxa"/>
            <w:shd w:val="clear" w:color="auto" w:fill="auto"/>
            <w:noWrap/>
            <w:vAlign w:val="center"/>
          </w:tcPr>
          <w:p w14:paraId="2EAECFB3" w14:textId="77777777" w:rsidR="00C90AAE" w:rsidRPr="006D2651" w:rsidRDefault="00C90AAE" w:rsidP="00A10F1B">
            <w:pPr>
              <w:spacing w:after="0"/>
              <w:jc w:val="center"/>
              <w:rPr>
                <w:rFonts w:ascii="Times New Roman" w:hAnsi="Times New Roman"/>
                <w:color w:val="000000"/>
                <w:sz w:val="20"/>
                <w:szCs w:val="20"/>
              </w:rPr>
            </w:pPr>
          </w:p>
        </w:tc>
        <w:tc>
          <w:tcPr>
            <w:tcW w:w="967" w:type="dxa"/>
            <w:shd w:val="clear" w:color="auto" w:fill="auto"/>
            <w:noWrap/>
            <w:vAlign w:val="center"/>
          </w:tcPr>
          <w:p w14:paraId="0362E45E" w14:textId="77777777" w:rsidR="00C90AAE" w:rsidRPr="006D2651" w:rsidRDefault="00C90AAE" w:rsidP="00A10F1B">
            <w:pPr>
              <w:spacing w:after="0"/>
              <w:jc w:val="center"/>
              <w:rPr>
                <w:rFonts w:ascii="Times New Roman" w:hAnsi="Times New Roman"/>
                <w:color w:val="000000"/>
                <w:sz w:val="20"/>
                <w:szCs w:val="20"/>
              </w:rPr>
            </w:pPr>
          </w:p>
        </w:tc>
        <w:tc>
          <w:tcPr>
            <w:tcW w:w="1017" w:type="dxa"/>
            <w:shd w:val="clear" w:color="auto" w:fill="auto"/>
            <w:noWrap/>
            <w:vAlign w:val="center"/>
          </w:tcPr>
          <w:p w14:paraId="03DF9191" w14:textId="77777777" w:rsidR="00C90AAE" w:rsidRPr="006D2651" w:rsidRDefault="00C90AAE" w:rsidP="00A10F1B">
            <w:pPr>
              <w:spacing w:after="0"/>
              <w:jc w:val="center"/>
              <w:rPr>
                <w:rFonts w:ascii="Times New Roman" w:hAnsi="Times New Roman"/>
                <w:color w:val="000000"/>
                <w:sz w:val="20"/>
                <w:szCs w:val="20"/>
              </w:rPr>
            </w:pPr>
          </w:p>
        </w:tc>
        <w:tc>
          <w:tcPr>
            <w:tcW w:w="992" w:type="dxa"/>
            <w:shd w:val="clear" w:color="auto" w:fill="auto"/>
            <w:noWrap/>
            <w:vAlign w:val="center"/>
          </w:tcPr>
          <w:p w14:paraId="32E0099F" w14:textId="77777777" w:rsidR="00C90AAE" w:rsidRPr="006D2651" w:rsidRDefault="00C90AAE" w:rsidP="00A10F1B">
            <w:pPr>
              <w:spacing w:after="0"/>
              <w:jc w:val="center"/>
              <w:rPr>
                <w:rFonts w:ascii="Times New Roman" w:hAnsi="Times New Roman"/>
                <w:color w:val="000000"/>
                <w:sz w:val="20"/>
                <w:szCs w:val="20"/>
              </w:rPr>
            </w:pPr>
          </w:p>
        </w:tc>
        <w:tc>
          <w:tcPr>
            <w:tcW w:w="993" w:type="dxa"/>
            <w:shd w:val="clear" w:color="auto" w:fill="auto"/>
            <w:noWrap/>
            <w:vAlign w:val="center"/>
          </w:tcPr>
          <w:p w14:paraId="57DDD71A" w14:textId="77777777" w:rsidR="00C90AAE" w:rsidRPr="006D2651" w:rsidRDefault="00C90AAE" w:rsidP="00A10F1B">
            <w:pPr>
              <w:spacing w:after="0"/>
              <w:jc w:val="center"/>
              <w:rPr>
                <w:rFonts w:ascii="Times New Roman" w:hAnsi="Times New Roman"/>
                <w:color w:val="000000"/>
                <w:sz w:val="20"/>
                <w:szCs w:val="20"/>
              </w:rPr>
            </w:pPr>
          </w:p>
        </w:tc>
        <w:tc>
          <w:tcPr>
            <w:tcW w:w="1134" w:type="dxa"/>
            <w:shd w:val="clear" w:color="auto" w:fill="auto"/>
            <w:noWrap/>
            <w:vAlign w:val="center"/>
          </w:tcPr>
          <w:p w14:paraId="7491DF14"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5823E3DC" w14:textId="77777777" w:rsidTr="00A10F1B">
        <w:trPr>
          <w:trHeight w:val="232"/>
        </w:trPr>
        <w:tc>
          <w:tcPr>
            <w:tcW w:w="1843" w:type="dxa"/>
            <w:shd w:val="clear" w:color="auto" w:fill="auto"/>
            <w:noWrap/>
            <w:vAlign w:val="center"/>
            <w:hideMark/>
          </w:tcPr>
          <w:p w14:paraId="65924E57"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Revenues (₹/ crore)</w:t>
            </w:r>
          </w:p>
        </w:tc>
        <w:tc>
          <w:tcPr>
            <w:tcW w:w="1487" w:type="dxa"/>
            <w:shd w:val="clear" w:color="auto" w:fill="auto"/>
            <w:vAlign w:val="center"/>
          </w:tcPr>
          <w:p w14:paraId="38D453BF"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B= A* Volume + V* Volume * Distance</w:t>
            </w:r>
          </w:p>
        </w:tc>
        <w:tc>
          <w:tcPr>
            <w:tcW w:w="1065" w:type="dxa"/>
            <w:shd w:val="clear" w:color="auto" w:fill="auto"/>
            <w:noWrap/>
            <w:vAlign w:val="bottom"/>
          </w:tcPr>
          <w:p w14:paraId="449D8EB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967" w:type="dxa"/>
            <w:shd w:val="clear" w:color="auto" w:fill="auto"/>
            <w:noWrap/>
            <w:vAlign w:val="bottom"/>
          </w:tcPr>
          <w:p w14:paraId="6B78010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388.08 </w:t>
            </w:r>
          </w:p>
        </w:tc>
        <w:tc>
          <w:tcPr>
            <w:tcW w:w="1017" w:type="dxa"/>
            <w:shd w:val="clear" w:color="auto" w:fill="auto"/>
            <w:noWrap/>
            <w:vAlign w:val="bottom"/>
          </w:tcPr>
          <w:p w14:paraId="75CB61F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603.48 </w:t>
            </w:r>
          </w:p>
        </w:tc>
        <w:tc>
          <w:tcPr>
            <w:tcW w:w="992" w:type="dxa"/>
            <w:shd w:val="clear" w:color="auto" w:fill="auto"/>
            <w:noWrap/>
            <w:vAlign w:val="bottom"/>
          </w:tcPr>
          <w:p w14:paraId="167B5D5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799.26 </w:t>
            </w:r>
          </w:p>
        </w:tc>
        <w:tc>
          <w:tcPr>
            <w:tcW w:w="993" w:type="dxa"/>
            <w:shd w:val="clear" w:color="auto" w:fill="auto"/>
            <w:noWrap/>
            <w:vAlign w:val="bottom"/>
          </w:tcPr>
          <w:p w14:paraId="15B977A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1,004.61 </w:t>
            </w:r>
          </w:p>
        </w:tc>
        <w:tc>
          <w:tcPr>
            <w:tcW w:w="1134" w:type="dxa"/>
            <w:shd w:val="clear" w:color="auto" w:fill="auto"/>
            <w:noWrap/>
            <w:vAlign w:val="bottom"/>
          </w:tcPr>
          <w:p w14:paraId="0730045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1,230.08 </w:t>
            </w:r>
          </w:p>
        </w:tc>
      </w:tr>
      <w:tr w:rsidR="00C90AAE" w:rsidRPr="006D2651" w14:paraId="66C54A90" w14:textId="77777777" w:rsidTr="00A10F1B">
        <w:trPr>
          <w:trHeight w:val="232"/>
        </w:trPr>
        <w:tc>
          <w:tcPr>
            <w:tcW w:w="1843" w:type="dxa"/>
            <w:shd w:val="clear" w:color="auto" w:fill="auto"/>
            <w:noWrap/>
            <w:vAlign w:val="center"/>
            <w:hideMark/>
          </w:tcPr>
          <w:p w14:paraId="73E94FBA" w14:textId="77777777" w:rsidR="00C90AAE" w:rsidRPr="006D2651" w:rsidRDefault="00C90AAE" w:rsidP="00A10F1B">
            <w:pPr>
              <w:spacing w:after="0"/>
              <w:jc w:val="both"/>
              <w:rPr>
                <w:rFonts w:ascii="Times New Roman" w:eastAsia="Times New Roman" w:hAnsi="Times New Roman"/>
                <w:b/>
                <w:bCs/>
                <w:sz w:val="20"/>
                <w:szCs w:val="20"/>
              </w:rPr>
            </w:pPr>
            <w:r w:rsidRPr="006D2651">
              <w:rPr>
                <w:rFonts w:ascii="Times New Roman" w:eastAsia="Times New Roman" w:hAnsi="Times New Roman"/>
                <w:b/>
                <w:bCs/>
                <w:sz w:val="20"/>
                <w:szCs w:val="20"/>
              </w:rPr>
              <w:t>Cash Outflow</w:t>
            </w:r>
          </w:p>
        </w:tc>
        <w:tc>
          <w:tcPr>
            <w:tcW w:w="1487" w:type="dxa"/>
            <w:shd w:val="clear" w:color="auto" w:fill="auto"/>
            <w:vAlign w:val="center"/>
          </w:tcPr>
          <w:p w14:paraId="58A4867C" w14:textId="77777777" w:rsidR="00C90AAE" w:rsidRPr="006D2651" w:rsidRDefault="00C90AAE" w:rsidP="00A10F1B">
            <w:pPr>
              <w:spacing w:after="0"/>
              <w:rPr>
                <w:rFonts w:ascii="Times New Roman" w:eastAsia="Times New Roman" w:hAnsi="Times New Roman"/>
                <w:sz w:val="20"/>
                <w:szCs w:val="20"/>
              </w:rPr>
            </w:pPr>
          </w:p>
        </w:tc>
        <w:tc>
          <w:tcPr>
            <w:tcW w:w="1065" w:type="dxa"/>
            <w:shd w:val="clear" w:color="auto" w:fill="auto"/>
            <w:noWrap/>
            <w:vAlign w:val="center"/>
          </w:tcPr>
          <w:p w14:paraId="3AC81CE3" w14:textId="77777777" w:rsidR="00C90AAE" w:rsidRPr="006D2651" w:rsidRDefault="00C90AAE" w:rsidP="00A10F1B">
            <w:pPr>
              <w:spacing w:after="0"/>
              <w:jc w:val="center"/>
              <w:rPr>
                <w:rFonts w:ascii="Times New Roman" w:hAnsi="Times New Roman"/>
                <w:color w:val="000000"/>
                <w:sz w:val="20"/>
                <w:szCs w:val="20"/>
              </w:rPr>
            </w:pPr>
          </w:p>
        </w:tc>
        <w:tc>
          <w:tcPr>
            <w:tcW w:w="967" w:type="dxa"/>
            <w:shd w:val="clear" w:color="auto" w:fill="auto"/>
            <w:noWrap/>
            <w:vAlign w:val="center"/>
          </w:tcPr>
          <w:p w14:paraId="2A090223" w14:textId="77777777" w:rsidR="00C90AAE" w:rsidRPr="006D2651" w:rsidRDefault="00C90AAE" w:rsidP="00A10F1B">
            <w:pPr>
              <w:spacing w:after="0"/>
              <w:jc w:val="center"/>
              <w:rPr>
                <w:rFonts w:ascii="Times New Roman" w:hAnsi="Times New Roman"/>
                <w:color w:val="000000"/>
                <w:sz w:val="20"/>
                <w:szCs w:val="20"/>
              </w:rPr>
            </w:pPr>
          </w:p>
        </w:tc>
        <w:tc>
          <w:tcPr>
            <w:tcW w:w="1017" w:type="dxa"/>
            <w:shd w:val="clear" w:color="auto" w:fill="auto"/>
            <w:noWrap/>
            <w:vAlign w:val="center"/>
          </w:tcPr>
          <w:p w14:paraId="36A3D21B" w14:textId="77777777" w:rsidR="00C90AAE" w:rsidRPr="006D2651" w:rsidRDefault="00C90AAE" w:rsidP="00A10F1B">
            <w:pPr>
              <w:spacing w:after="0"/>
              <w:jc w:val="center"/>
              <w:rPr>
                <w:rFonts w:ascii="Times New Roman" w:hAnsi="Times New Roman"/>
                <w:color w:val="000000"/>
                <w:sz w:val="20"/>
                <w:szCs w:val="20"/>
              </w:rPr>
            </w:pPr>
          </w:p>
        </w:tc>
        <w:tc>
          <w:tcPr>
            <w:tcW w:w="992" w:type="dxa"/>
            <w:shd w:val="clear" w:color="auto" w:fill="auto"/>
            <w:noWrap/>
            <w:vAlign w:val="center"/>
          </w:tcPr>
          <w:p w14:paraId="45C02409" w14:textId="77777777" w:rsidR="00C90AAE" w:rsidRPr="006D2651" w:rsidRDefault="00C90AAE" w:rsidP="00A10F1B">
            <w:pPr>
              <w:spacing w:after="0"/>
              <w:jc w:val="center"/>
              <w:rPr>
                <w:rFonts w:ascii="Times New Roman" w:hAnsi="Times New Roman"/>
                <w:color w:val="000000"/>
                <w:sz w:val="20"/>
                <w:szCs w:val="20"/>
              </w:rPr>
            </w:pPr>
          </w:p>
        </w:tc>
        <w:tc>
          <w:tcPr>
            <w:tcW w:w="993" w:type="dxa"/>
            <w:shd w:val="clear" w:color="auto" w:fill="auto"/>
            <w:noWrap/>
            <w:vAlign w:val="center"/>
          </w:tcPr>
          <w:p w14:paraId="77333905" w14:textId="77777777" w:rsidR="00C90AAE" w:rsidRPr="006D2651" w:rsidRDefault="00C90AAE" w:rsidP="00A10F1B">
            <w:pPr>
              <w:spacing w:after="0"/>
              <w:jc w:val="center"/>
              <w:rPr>
                <w:rFonts w:ascii="Times New Roman" w:hAnsi="Times New Roman"/>
                <w:color w:val="000000"/>
                <w:sz w:val="20"/>
                <w:szCs w:val="20"/>
              </w:rPr>
            </w:pPr>
          </w:p>
        </w:tc>
        <w:tc>
          <w:tcPr>
            <w:tcW w:w="1134" w:type="dxa"/>
            <w:shd w:val="clear" w:color="auto" w:fill="auto"/>
            <w:noWrap/>
            <w:vAlign w:val="center"/>
          </w:tcPr>
          <w:p w14:paraId="031F6729"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05FEAF19" w14:textId="77777777" w:rsidTr="00A10F1B">
        <w:trPr>
          <w:trHeight w:val="232"/>
        </w:trPr>
        <w:tc>
          <w:tcPr>
            <w:tcW w:w="1843" w:type="dxa"/>
            <w:shd w:val="clear" w:color="auto" w:fill="auto"/>
            <w:noWrap/>
            <w:vAlign w:val="center"/>
            <w:hideMark/>
          </w:tcPr>
          <w:p w14:paraId="39CA58C5"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1487" w:type="dxa"/>
            <w:shd w:val="clear" w:color="auto" w:fill="auto"/>
            <w:vAlign w:val="center"/>
          </w:tcPr>
          <w:p w14:paraId="22BC61F9"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C</w:t>
            </w:r>
          </w:p>
        </w:tc>
        <w:tc>
          <w:tcPr>
            <w:tcW w:w="1065" w:type="dxa"/>
            <w:shd w:val="clear" w:color="auto" w:fill="auto"/>
            <w:noWrap/>
            <w:vAlign w:val="bottom"/>
          </w:tcPr>
          <w:p w14:paraId="3007503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1,570.80 </w:t>
            </w:r>
          </w:p>
        </w:tc>
        <w:tc>
          <w:tcPr>
            <w:tcW w:w="967" w:type="dxa"/>
            <w:shd w:val="clear" w:color="auto" w:fill="auto"/>
            <w:noWrap/>
            <w:vAlign w:val="bottom"/>
          </w:tcPr>
          <w:p w14:paraId="239D481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1017" w:type="dxa"/>
            <w:shd w:val="clear" w:color="auto" w:fill="auto"/>
            <w:noWrap/>
            <w:vAlign w:val="bottom"/>
          </w:tcPr>
          <w:p w14:paraId="63E45D3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992" w:type="dxa"/>
            <w:shd w:val="clear" w:color="auto" w:fill="auto"/>
            <w:noWrap/>
            <w:vAlign w:val="bottom"/>
          </w:tcPr>
          <w:p w14:paraId="4AD921A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993" w:type="dxa"/>
            <w:shd w:val="clear" w:color="auto" w:fill="auto"/>
            <w:noWrap/>
            <w:vAlign w:val="bottom"/>
          </w:tcPr>
          <w:p w14:paraId="06EC1A1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1134" w:type="dxa"/>
            <w:shd w:val="clear" w:color="auto" w:fill="auto"/>
            <w:noWrap/>
            <w:vAlign w:val="bottom"/>
          </w:tcPr>
          <w:p w14:paraId="2AB1E72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r>
      <w:tr w:rsidR="00C90AAE" w:rsidRPr="006D2651" w14:paraId="057AF1C8" w14:textId="77777777" w:rsidTr="00A10F1B">
        <w:trPr>
          <w:trHeight w:val="232"/>
        </w:trPr>
        <w:tc>
          <w:tcPr>
            <w:tcW w:w="1843" w:type="dxa"/>
            <w:shd w:val="clear" w:color="auto" w:fill="auto"/>
            <w:noWrap/>
            <w:vAlign w:val="center"/>
            <w:hideMark/>
          </w:tcPr>
          <w:p w14:paraId="16900E54" w14:textId="77777777" w:rsidR="00C90AAE" w:rsidRPr="006D2651" w:rsidRDefault="00C90AAE" w:rsidP="00A10F1B">
            <w:pPr>
              <w:spacing w:after="0"/>
              <w:jc w:val="both"/>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1487" w:type="dxa"/>
            <w:shd w:val="clear" w:color="auto" w:fill="auto"/>
            <w:vAlign w:val="center"/>
          </w:tcPr>
          <w:p w14:paraId="2F82617E"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D</w:t>
            </w:r>
          </w:p>
        </w:tc>
        <w:tc>
          <w:tcPr>
            <w:tcW w:w="1065" w:type="dxa"/>
            <w:shd w:val="clear" w:color="auto" w:fill="auto"/>
            <w:noWrap/>
            <w:vAlign w:val="bottom"/>
          </w:tcPr>
          <w:p w14:paraId="37E2E25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   </w:t>
            </w:r>
          </w:p>
        </w:tc>
        <w:tc>
          <w:tcPr>
            <w:tcW w:w="967" w:type="dxa"/>
            <w:shd w:val="clear" w:color="auto" w:fill="auto"/>
            <w:noWrap/>
            <w:vAlign w:val="bottom"/>
          </w:tcPr>
          <w:p w14:paraId="1612B71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539.00 </w:t>
            </w:r>
          </w:p>
        </w:tc>
        <w:tc>
          <w:tcPr>
            <w:tcW w:w="1017" w:type="dxa"/>
            <w:shd w:val="clear" w:color="auto" w:fill="auto"/>
            <w:noWrap/>
            <w:vAlign w:val="bottom"/>
          </w:tcPr>
          <w:p w14:paraId="6707CF9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555.17 </w:t>
            </w:r>
          </w:p>
        </w:tc>
        <w:tc>
          <w:tcPr>
            <w:tcW w:w="992" w:type="dxa"/>
            <w:shd w:val="clear" w:color="auto" w:fill="auto"/>
            <w:noWrap/>
            <w:vAlign w:val="bottom"/>
          </w:tcPr>
          <w:p w14:paraId="31B4B272"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571.83 </w:t>
            </w:r>
          </w:p>
        </w:tc>
        <w:tc>
          <w:tcPr>
            <w:tcW w:w="993" w:type="dxa"/>
            <w:shd w:val="clear" w:color="auto" w:fill="auto"/>
            <w:noWrap/>
            <w:vAlign w:val="bottom"/>
          </w:tcPr>
          <w:p w14:paraId="7C2E954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588.98 </w:t>
            </w:r>
          </w:p>
        </w:tc>
        <w:tc>
          <w:tcPr>
            <w:tcW w:w="1134" w:type="dxa"/>
            <w:shd w:val="clear" w:color="auto" w:fill="auto"/>
            <w:noWrap/>
            <w:vAlign w:val="bottom"/>
          </w:tcPr>
          <w:p w14:paraId="2221CB2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606.65 </w:t>
            </w:r>
          </w:p>
        </w:tc>
      </w:tr>
      <w:tr w:rsidR="00C90AAE" w:rsidRPr="006D2651" w14:paraId="5D373325" w14:textId="77777777" w:rsidTr="00A10F1B">
        <w:trPr>
          <w:trHeight w:val="232"/>
        </w:trPr>
        <w:tc>
          <w:tcPr>
            <w:tcW w:w="1843" w:type="dxa"/>
            <w:shd w:val="clear" w:color="auto" w:fill="auto"/>
            <w:noWrap/>
            <w:vAlign w:val="center"/>
            <w:hideMark/>
          </w:tcPr>
          <w:p w14:paraId="589A46FE" w14:textId="77777777" w:rsidR="00C90AAE" w:rsidRPr="006D2651" w:rsidRDefault="00C90AAE" w:rsidP="00A10F1B">
            <w:pPr>
              <w:spacing w:after="0"/>
              <w:jc w:val="both"/>
              <w:rPr>
                <w:rFonts w:ascii="Times New Roman" w:eastAsia="Times New Roman" w:hAnsi="Times New Roman"/>
                <w:sz w:val="20"/>
                <w:szCs w:val="20"/>
              </w:rPr>
            </w:pPr>
            <w:r w:rsidRPr="006D2651">
              <w:rPr>
                <w:rFonts w:ascii="Times New Roman" w:eastAsia="Times New Roman" w:hAnsi="Times New Roman"/>
                <w:sz w:val="20"/>
                <w:szCs w:val="20"/>
              </w:rPr>
              <w:t>Net cashflow Pre-Tax for project IRR (₹/ crore)</w:t>
            </w:r>
          </w:p>
        </w:tc>
        <w:tc>
          <w:tcPr>
            <w:tcW w:w="1487" w:type="dxa"/>
            <w:shd w:val="clear" w:color="auto" w:fill="auto"/>
            <w:vAlign w:val="center"/>
          </w:tcPr>
          <w:p w14:paraId="31A26719"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B - C – D</w:t>
            </w:r>
          </w:p>
        </w:tc>
        <w:tc>
          <w:tcPr>
            <w:tcW w:w="1065" w:type="dxa"/>
            <w:shd w:val="clear" w:color="auto" w:fill="auto"/>
            <w:noWrap/>
            <w:vAlign w:val="bottom"/>
          </w:tcPr>
          <w:p w14:paraId="3E5A085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(1,570.80)</w:t>
            </w:r>
          </w:p>
        </w:tc>
        <w:tc>
          <w:tcPr>
            <w:tcW w:w="967" w:type="dxa"/>
            <w:shd w:val="clear" w:color="auto" w:fill="auto"/>
            <w:noWrap/>
            <w:vAlign w:val="bottom"/>
          </w:tcPr>
          <w:p w14:paraId="1EFEDEC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(150.92)</w:t>
            </w:r>
          </w:p>
        </w:tc>
        <w:tc>
          <w:tcPr>
            <w:tcW w:w="1017" w:type="dxa"/>
            <w:shd w:val="clear" w:color="auto" w:fill="auto"/>
            <w:noWrap/>
            <w:vAlign w:val="bottom"/>
          </w:tcPr>
          <w:p w14:paraId="32B544B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48.31 </w:t>
            </w:r>
          </w:p>
        </w:tc>
        <w:tc>
          <w:tcPr>
            <w:tcW w:w="992" w:type="dxa"/>
            <w:shd w:val="clear" w:color="auto" w:fill="auto"/>
            <w:noWrap/>
            <w:vAlign w:val="bottom"/>
          </w:tcPr>
          <w:p w14:paraId="6F1A2B2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227.44 </w:t>
            </w:r>
          </w:p>
        </w:tc>
        <w:tc>
          <w:tcPr>
            <w:tcW w:w="993" w:type="dxa"/>
            <w:shd w:val="clear" w:color="auto" w:fill="auto"/>
            <w:noWrap/>
            <w:vAlign w:val="bottom"/>
          </w:tcPr>
          <w:p w14:paraId="59F7192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415.63 </w:t>
            </w:r>
          </w:p>
        </w:tc>
        <w:tc>
          <w:tcPr>
            <w:tcW w:w="1134" w:type="dxa"/>
            <w:shd w:val="clear" w:color="auto" w:fill="auto"/>
            <w:noWrap/>
            <w:vAlign w:val="bottom"/>
          </w:tcPr>
          <w:p w14:paraId="778C521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623.43 </w:t>
            </w:r>
          </w:p>
        </w:tc>
      </w:tr>
    </w:tbl>
    <w:p w14:paraId="6801017A" w14:textId="1198F6F2" w:rsidR="00C90AAE" w:rsidRPr="006D2651" w:rsidRDefault="00C90AAE" w:rsidP="00C90AAE">
      <w:pPr>
        <w:spacing w:after="0"/>
        <w:jc w:val="both"/>
        <w:rPr>
          <w:rFonts w:ascii="Times New Roman" w:hAnsi="Times New Roman"/>
          <w:sz w:val="20"/>
          <w:szCs w:val="20"/>
        </w:rPr>
      </w:pP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588"/>
        <w:gridCol w:w="1071"/>
        <w:gridCol w:w="1072"/>
        <w:gridCol w:w="1071"/>
        <w:gridCol w:w="1072"/>
        <w:gridCol w:w="1072"/>
      </w:tblGrid>
      <w:tr w:rsidR="00C90AAE" w:rsidRPr="006D2651" w14:paraId="5339F21B" w14:textId="77777777" w:rsidTr="00A10F1B">
        <w:trPr>
          <w:trHeight w:val="306"/>
          <w:tblHeader/>
        </w:trPr>
        <w:tc>
          <w:tcPr>
            <w:tcW w:w="2529" w:type="dxa"/>
            <w:shd w:val="clear" w:color="auto" w:fill="auto"/>
            <w:noWrap/>
            <w:vAlign w:val="center"/>
            <w:hideMark/>
          </w:tcPr>
          <w:p w14:paraId="09A29438"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Year</w:t>
            </w:r>
          </w:p>
        </w:tc>
        <w:tc>
          <w:tcPr>
            <w:tcW w:w="1588" w:type="dxa"/>
            <w:shd w:val="clear" w:color="auto" w:fill="auto"/>
            <w:vAlign w:val="center"/>
          </w:tcPr>
          <w:p w14:paraId="3D1CD53A"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Computation</w:t>
            </w:r>
          </w:p>
        </w:tc>
        <w:tc>
          <w:tcPr>
            <w:tcW w:w="1071" w:type="dxa"/>
            <w:shd w:val="clear" w:color="auto" w:fill="auto"/>
            <w:noWrap/>
            <w:vAlign w:val="center"/>
            <w:hideMark/>
          </w:tcPr>
          <w:p w14:paraId="162CE458"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Y6</w:t>
            </w:r>
          </w:p>
        </w:tc>
        <w:tc>
          <w:tcPr>
            <w:tcW w:w="1072" w:type="dxa"/>
            <w:shd w:val="clear" w:color="auto" w:fill="auto"/>
            <w:noWrap/>
            <w:vAlign w:val="center"/>
            <w:hideMark/>
          </w:tcPr>
          <w:p w14:paraId="5340C861"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Y7</w:t>
            </w:r>
          </w:p>
        </w:tc>
        <w:tc>
          <w:tcPr>
            <w:tcW w:w="1071" w:type="dxa"/>
            <w:shd w:val="clear" w:color="auto" w:fill="auto"/>
            <w:vAlign w:val="center"/>
          </w:tcPr>
          <w:p w14:paraId="775404DB"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Y8</w:t>
            </w:r>
          </w:p>
        </w:tc>
        <w:tc>
          <w:tcPr>
            <w:tcW w:w="1072" w:type="dxa"/>
            <w:shd w:val="clear" w:color="auto" w:fill="auto"/>
            <w:vAlign w:val="center"/>
          </w:tcPr>
          <w:p w14:paraId="6D4B3AAB"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Y9</w:t>
            </w:r>
          </w:p>
        </w:tc>
        <w:tc>
          <w:tcPr>
            <w:tcW w:w="1072" w:type="dxa"/>
            <w:shd w:val="clear" w:color="auto" w:fill="auto"/>
            <w:vAlign w:val="center"/>
          </w:tcPr>
          <w:p w14:paraId="7A16AEB9" w14:textId="77777777" w:rsidR="00C90AAE" w:rsidRPr="006D2651" w:rsidRDefault="00C90AAE" w:rsidP="00A10F1B">
            <w:pPr>
              <w:spacing w:after="0"/>
              <w:jc w:val="center"/>
              <w:rPr>
                <w:rFonts w:ascii="Times New Roman" w:eastAsia="Times New Roman" w:hAnsi="Times New Roman"/>
                <w:b/>
                <w:bCs/>
                <w:sz w:val="20"/>
                <w:szCs w:val="20"/>
              </w:rPr>
            </w:pPr>
            <w:r w:rsidRPr="006D2651">
              <w:rPr>
                <w:rFonts w:ascii="Times New Roman" w:eastAsia="Times New Roman" w:hAnsi="Times New Roman"/>
                <w:b/>
                <w:bCs/>
                <w:sz w:val="20"/>
                <w:szCs w:val="20"/>
              </w:rPr>
              <w:t>Y10</w:t>
            </w:r>
          </w:p>
        </w:tc>
      </w:tr>
      <w:tr w:rsidR="00C90AAE" w:rsidRPr="006D2651" w14:paraId="62E870EA" w14:textId="77777777" w:rsidTr="00A10F1B">
        <w:trPr>
          <w:trHeight w:val="306"/>
        </w:trPr>
        <w:tc>
          <w:tcPr>
            <w:tcW w:w="2529" w:type="dxa"/>
            <w:shd w:val="clear" w:color="auto" w:fill="auto"/>
            <w:noWrap/>
            <w:vAlign w:val="center"/>
            <w:hideMark/>
          </w:tcPr>
          <w:p w14:paraId="7109DC3C" w14:textId="77777777" w:rsidR="00C90AAE" w:rsidRPr="006D2651" w:rsidRDefault="00C90AAE" w:rsidP="00A10F1B">
            <w:pPr>
              <w:spacing w:after="0"/>
              <w:rPr>
                <w:rFonts w:ascii="Times New Roman" w:eastAsia="Times New Roman" w:hAnsi="Times New Roman"/>
                <w:sz w:val="20"/>
                <w:szCs w:val="20"/>
              </w:rPr>
            </w:pPr>
            <w:r w:rsidRPr="006D2651">
              <w:rPr>
                <w:rFonts w:ascii="Times New Roman" w:eastAsia="Times New Roman" w:hAnsi="Times New Roman"/>
                <w:sz w:val="20"/>
                <w:szCs w:val="20"/>
              </w:rPr>
              <w:t>Fixed Bid Tariff (₹/MT)</w:t>
            </w:r>
          </w:p>
        </w:tc>
        <w:tc>
          <w:tcPr>
            <w:tcW w:w="1588" w:type="dxa"/>
            <w:shd w:val="clear" w:color="auto" w:fill="auto"/>
            <w:vAlign w:val="center"/>
          </w:tcPr>
          <w:p w14:paraId="2252CF40"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A</w:t>
            </w:r>
          </w:p>
        </w:tc>
        <w:tc>
          <w:tcPr>
            <w:tcW w:w="1071" w:type="dxa"/>
            <w:shd w:val="clear" w:color="auto" w:fill="auto"/>
            <w:noWrap/>
            <w:vAlign w:val="center"/>
          </w:tcPr>
          <w:p w14:paraId="5DE5A1F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072" w:type="dxa"/>
            <w:shd w:val="clear" w:color="auto" w:fill="auto"/>
            <w:noWrap/>
            <w:vAlign w:val="center"/>
          </w:tcPr>
          <w:p w14:paraId="4D845BA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071" w:type="dxa"/>
            <w:shd w:val="clear" w:color="auto" w:fill="auto"/>
            <w:vAlign w:val="center"/>
          </w:tcPr>
          <w:p w14:paraId="69BCC8F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072" w:type="dxa"/>
            <w:shd w:val="clear" w:color="auto" w:fill="auto"/>
            <w:vAlign w:val="center"/>
          </w:tcPr>
          <w:p w14:paraId="0A77A26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c>
          <w:tcPr>
            <w:tcW w:w="1072" w:type="dxa"/>
            <w:shd w:val="clear" w:color="auto" w:fill="auto"/>
            <w:vAlign w:val="center"/>
          </w:tcPr>
          <w:p w14:paraId="2A9CF82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0.01</w:t>
            </w:r>
          </w:p>
        </w:tc>
      </w:tr>
      <w:tr w:rsidR="00C90AAE" w:rsidRPr="006D2651" w14:paraId="64C1E94D" w14:textId="77777777" w:rsidTr="00A10F1B">
        <w:trPr>
          <w:trHeight w:val="306"/>
        </w:trPr>
        <w:tc>
          <w:tcPr>
            <w:tcW w:w="2529" w:type="dxa"/>
            <w:shd w:val="clear" w:color="auto" w:fill="auto"/>
            <w:noWrap/>
            <w:vAlign w:val="center"/>
          </w:tcPr>
          <w:p w14:paraId="0A40BA2C" w14:textId="77777777" w:rsidR="00C90AAE" w:rsidRPr="006D2651" w:rsidRDefault="00C90AAE" w:rsidP="00A10F1B">
            <w:pPr>
              <w:spacing w:after="0"/>
              <w:rPr>
                <w:rFonts w:ascii="Times New Roman" w:eastAsia="Times New Roman" w:hAnsi="Times New Roman"/>
                <w:sz w:val="20"/>
                <w:szCs w:val="20"/>
              </w:rPr>
            </w:pPr>
            <w:r w:rsidRPr="006D2651">
              <w:rPr>
                <w:rFonts w:ascii="Times New Roman" w:eastAsia="Times New Roman" w:hAnsi="Times New Roman"/>
                <w:sz w:val="20"/>
                <w:szCs w:val="20"/>
              </w:rPr>
              <w:t>Variable Bid Tariff (₹/MT/km)</w:t>
            </w:r>
          </w:p>
        </w:tc>
        <w:tc>
          <w:tcPr>
            <w:tcW w:w="1588" w:type="dxa"/>
            <w:shd w:val="clear" w:color="auto" w:fill="auto"/>
            <w:vAlign w:val="center"/>
          </w:tcPr>
          <w:p w14:paraId="7032D271"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V</w:t>
            </w:r>
          </w:p>
        </w:tc>
        <w:tc>
          <w:tcPr>
            <w:tcW w:w="1071" w:type="dxa"/>
            <w:shd w:val="clear" w:color="auto" w:fill="auto"/>
            <w:noWrap/>
            <w:vAlign w:val="center"/>
          </w:tcPr>
          <w:p w14:paraId="68C03C8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4.66 </w:t>
            </w:r>
          </w:p>
        </w:tc>
        <w:tc>
          <w:tcPr>
            <w:tcW w:w="1072" w:type="dxa"/>
            <w:shd w:val="clear" w:color="auto" w:fill="auto"/>
            <w:noWrap/>
            <w:vAlign w:val="center"/>
          </w:tcPr>
          <w:p w14:paraId="31DFBEA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5.06 </w:t>
            </w:r>
          </w:p>
        </w:tc>
        <w:tc>
          <w:tcPr>
            <w:tcW w:w="1071" w:type="dxa"/>
            <w:shd w:val="clear" w:color="auto" w:fill="auto"/>
            <w:vAlign w:val="center"/>
          </w:tcPr>
          <w:p w14:paraId="6FA290F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5.46 </w:t>
            </w:r>
          </w:p>
        </w:tc>
        <w:tc>
          <w:tcPr>
            <w:tcW w:w="1072" w:type="dxa"/>
            <w:shd w:val="clear" w:color="auto" w:fill="auto"/>
            <w:vAlign w:val="center"/>
          </w:tcPr>
          <w:p w14:paraId="4AA054A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5.86 </w:t>
            </w:r>
          </w:p>
        </w:tc>
        <w:tc>
          <w:tcPr>
            <w:tcW w:w="1072" w:type="dxa"/>
            <w:shd w:val="clear" w:color="auto" w:fill="auto"/>
            <w:vAlign w:val="center"/>
          </w:tcPr>
          <w:p w14:paraId="03DD884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6.26 </w:t>
            </w:r>
          </w:p>
        </w:tc>
      </w:tr>
      <w:tr w:rsidR="00C90AAE" w:rsidRPr="006D2651" w14:paraId="13A36137" w14:textId="77777777" w:rsidTr="00A10F1B">
        <w:trPr>
          <w:trHeight w:val="306"/>
        </w:trPr>
        <w:tc>
          <w:tcPr>
            <w:tcW w:w="2529" w:type="dxa"/>
            <w:shd w:val="clear" w:color="auto" w:fill="auto"/>
            <w:noWrap/>
            <w:vAlign w:val="center"/>
            <w:hideMark/>
          </w:tcPr>
          <w:p w14:paraId="7E20232F"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Cash Inflow</w:t>
            </w:r>
          </w:p>
        </w:tc>
        <w:tc>
          <w:tcPr>
            <w:tcW w:w="1588" w:type="dxa"/>
            <w:shd w:val="clear" w:color="auto" w:fill="auto"/>
            <w:vAlign w:val="center"/>
          </w:tcPr>
          <w:p w14:paraId="31F2B7B6" w14:textId="77777777" w:rsidR="00C90AAE" w:rsidRPr="006D2651" w:rsidRDefault="00C90AAE" w:rsidP="00A10F1B">
            <w:pPr>
              <w:spacing w:after="0"/>
              <w:rPr>
                <w:rFonts w:ascii="Times New Roman" w:eastAsia="Times New Roman" w:hAnsi="Times New Roman"/>
                <w:sz w:val="20"/>
                <w:szCs w:val="20"/>
              </w:rPr>
            </w:pPr>
          </w:p>
        </w:tc>
        <w:tc>
          <w:tcPr>
            <w:tcW w:w="1071" w:type="dxa"/>
            <w:shd w:val="clear" w:color="auto" w:fill="auto"/>
            <w:noWrap/>
            <w:vAlign w:val="center"/>
          </w:tcPr>
          <w:p w14:paraId="477EA1D9"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noWrap/>
            <w:vAlign w:val="center"/>
          </w:tcPr>
          <w:p w14:paraId="6013EEC7" w14:textId="77777777" w:rsidR="00C90AAE" w:rsidRPr="006D2651" w:rsidRDefault="00C90AAE" w:rsidP="00A10F1B">
            <w:pPr>
              <w:spacing w:after="0"/>
              <w:jc w:val="center"/>
              <w:rPr>
                <w:rFonts w:ascii="Times New Roman" w:hAnsi="Times New Roman"/>
                <w:color w:val="000000"/>
                <w:sz w:val="20"/>
                <w:szCs w:val="20"/>
              </w:rPr>
            </w:pPr>
          </w:p>
        </w:tc>
        <w:tc>
          <w:tcPr>
            <w:tcW w:w="1071" w:type="dxa"/>
            <w:shd w:val="clear" w:color="auto" w:fill="auto"/>
            <w:vAlign w:val="center"/>
          </w:tcPr>
          <w:p w14:paraId="77BC262D"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vAlign w:val="center"/>
          </w:tcPr>
          <w:p w14:paraId="08117D0B"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vAlign w:val="center"/>
          </w:tcPr>
          <w:p w14:paraId="21F6C9AB"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2584A347" w14:textId="77777777" w:rsidTr="00A10F1B">
        <w:trPr>
          <w:trHeight w:val="306"/>
        </w:trPr>
        <w:tc>
          <w:tcPr>
            <w:tcW w:w="2529" w:type="dxa"/>
            <w:shd w:val="clear" w:color="auto" w:fill="auto"/>
            <w:noWrap/>
            <w:vAlign w:val="center"/>
            <w:hideMark/>
          </w:tcPr>
          <w:p w14:paraId="7DD54861" w14:textId="77777777" w:rsidR="00C90AAE" w:rsidRPr="006D2651" w:rsidRDefault="00C90AAE" w:rsidP="00A10F1B">
            <w:pPr>
              <w:spacing w:after="0"/>
              <w:rPr>
                <w:rFonts w:ascii="Times New Roman" w:eastAsia="Times New Roman" w:hAnsi="Times New Roman"/>
                <w:sz w:val="20"/>
                <w:szCs w:val="20"/>
              </w:rPr>
            </w:pPr>
            <w:r w:rsidRPr="006D2651">
              <w:rPr>
                <w:rFonts w:ascii="Times New Roman" w:eastAsia="Times New Roman" w:hAnsi="Times New Roman"/>
                <w:sz w:val="20"/>
                <w:szCs w:val="20"/>
              </w:rPr>
              <w:lastRenderedPageBreak/>
              <w:t>Revenues (₹/ crore)</w:t>
            </w:r>
          </w:p>
        </w:tc>
        <w:tc>
          <w:tcPr>
            <w:tcW w:w="1588" w:type="dxa"/>
            <w:shd w:val="clear" w:color="auto" w:fill="auto"/>
            <w:vAlign w:val="center"/>
          </w:tcPr>
          <w:p w14:paraId="7A46A36D" w14:textId="77777777" w:rsidR="00C90AAE" w:rsidRPr="006D2651" w:rsidRDefault="00C90AAE" w:rsidP="00A10F1B">
            <w:pPr>
              <w:spacing w:after="0"/>
              <w:jc w:val="both"/>
              <w:rPr>
                <w:rFonts w:ascii="Times New Roman" w:hAnsi="Times New Roman"/>
                <w:sz w:val="20"/>
                <w:szCs w:val="20"/>
              </w:rPr>
            </w:pPr>
            <w:r w:rsidRPr="006D2651">
              <w:rPr>
                <w:rFonts w:ascii="Times New Roman" w:hAnsi="Times New Roman"/>
                <w:sz w:val="20"/>
                <w:szCs w:val="20"/>
              </w:rPr>
              <w:t>B= A* Volume + V* Volume * Distance</w:t>
            </w:r>
          </w:p>
        </w:tc>
        <w:tc>
          <w:tcPr>
            <w:tcW w:w="1071" w:type="dxa"/>
            <w:shd w:val="clear" w:color="auto" w:fill="auto"/>
            <w:noWrap/>
            <w:vAlign w:val="center"/>
          </w:tcPr>
          <w:p w14:paraId="02F885E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1,614.69 </w:t>
            </w:r>
          </w:p>
        </w:tc>
        <w:tc>
          <w:tcPr>
            <w:tcW w:w="1072" w:type="dxa"/>
            <w:shd w:val="clear" w:color="auto" w:fill="auto"/>
            <w:noWrap/>
            <w:vAlign w:val="center"/>
          </w:tcPr>
          <w:p w14:paraId="1335F21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2,045.51 </w:t>
            </w:r>
          </w:p>
        </w:tc>
        <w:tc>
          <w:tcPr>
            <w:tcW w:w="1071" w:type="dxa"/>
            <w:shd w:val="clear" w:color="auto" w:fill="auto"/>
            <w:vAlign w:val="center"/>
          </w:tcPr>
          <w:p w14:paraId="179644C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2,522.53 </w:t>
            </w:r>
          </w:p>
        </w:tc>
        <w:tc>
          <w:tcPr>
            <w:tcW w:w="1072" w:type="dxa"/>
            <w:shd w:val="clear" w:color="auto" w:fill="auto"/>
            <w:vAlign w:val="center"/>
          </w:tcPr>
          <w:p w14:paraId="7AD8D1D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3,045.74 </w:t>
            </w:r>
          </w:p>
        </w:tc>
        <w:tc>
          <w:tcPr>
            <w:tcW w:w="1072" w:type="dxa"/>
            <w:shd w:val="clear" w:color="auto" w:fill="auto"/>
            <w:vAlign w:val="center"/>
          </w:tcPr>
          <w:p w14:paraId="6AF71F9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3,615.16 </w:t>
            </w:r>
          </w:p>
        </w:tc>
      </w:tr>
      <w:tr w:rsidR="00C90AAE" w:rsidRPr="006D2651" w14:paraId="228FD8A8" w14:textId="77777777" w:rsidTr="00A10F1B">
        <w:trPr>
          <w:trHeight w:val="306"/>
        </w:trPr>
        <w:tc>
          <w:tcPr>
            <w:tcW w:w="2529" w:type="dxa"/>
            <w:shd w:val="clear" w:color="auto" w:fill="auto"/>
            <w:noWrap/>
            <w:vAlign w:val="center"/>
            <w:hideMark/>
          </w:tcPr>
          <w:p w14:paraId="6C789B27" w14:textId="77777777" w:rsidR="00C90AAE" w:rsidRPr="006D2651" w:rsidRDefault="00C90AAE" w:rsidP="00A10F1B">
            <w:pPr>
              <w:spacing w:after="0"/>
              <w:rPr>
                <w:rFonts w:ascii="Times New Roman" w:eastAsia="Times New Roman" w:hAnsi="Times New Roman"/>
                <w:b/>
                <w:bCs/>
                <w:sz w:val="20"/>
                <w:szCs w:val="20"/>
              </w:rPr>
            </w:pPr>
            <w:r w:rsidRPr="006D2651">
              <w:rPr>
                <w:rFonts w:ascii="Times New Roman" w:eastAsia="Times New Roman" w:hAnsi="Times New Roman"/>
                <w:b/>
                <w:bCs/>
                <w:sz w:val="20"/>
                <w:szCs w:val="20"/>
              </w:rPr>
              <w:t>Cash Outflow</w:t>
            </w:r>
          </w:p>
        </w:tc>
        <w:tc>
          <w:tcPr>
            <w:tcW w:w="1588" w:type="dxa"/>
            <w:shd w:val="clear" w:color="auto" w:fill="auto"/>
            <w:vAlign w:val="center"/>
          </w:tcPr>
          <w:p w14:paraId="69E5287E" w14:textId="77777777" w:rsidR="00C90AAE" w:rsidRPr="006D2651" w:rsidRDefault="00C90AAE" w:rsidP="00A10F1B">
            <w:pPr>
              <w:spacing w:after="0"/>
              <w:rPr>
                <w:rFonts w:ascii="Times New Roman" w:eastAsia="Times New Roman" w:hAnsi="Times New Roman"/>
                <w:sz w:val="20"/>
                <w:szCs w:val="20"/>
              </w:rPr>
            </w:pPr>
          </w:p>
        </w:tc>
        <w:tc>
          <w:tcPr>
            <w:tcW w:w="1071" w:type="dxa"/>
            <w:shd w:val="clear" w:color="auto" w:fill="auto"/>
            <w:noWrap/>
            <w:vAlign w:val="center"/>
          </w:tcPr>
          <w:p w14:paraId="174F5765"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noWrap/>
            <w:vAlign w:val="center"/>
          </w:tcPr>
          <w:p w14:paraId="59D88D90" w14:textId="77777777" w:rsidR="00C90AAE" w:rsidRPr="006D2651" w:rsidRDefault="00C90AAE" w:rsidP="00A10F1B">
            <w:pPr>
              <w:spacing w:after="0"/>
              <w:jc w:val="center"/>
              <w:rPr>
                <w:rFonts w:ascii="Times New Roman" w:hAnsi="Times New Roman"/>
                <w:color w:val="000000"/>
                <w:sz w:val="20"/>
                <w:szCs w:val="20"/>
              </w:rPr>
            </w:pPr>
          </w:p>
        </w:tc>
        <w:tc>
          <w:tcPr>
            <w:tcW w:w="1071" w:type="dxa"/>
            <w:shd w:val="clear" w:color="auto" w:fill="auto"/>
            <w:vAlign w:val="center"/>
          </w:tcPr>
          <w:p w14:paraId="63BBBF47"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vAlign w:val="center"/>
          </w:tcPr>
          <w:p w14:paraId="34A5EB33" w14:textId="77777777" w:rsidR="00C90AAE" w:rsidRPr="006D2651" w:rsidRDefault="00C90AAE" w:rsidP="00A10F1B">
            <w:pPr>
              <w:spacing w:after="0"/>
              <w:jc w:val="center"/>
              <w:rPr>
                <w:rFonts w:ascii="Times New Roman" w:hAnsi="Times New Roman"/>
                <w:color w:val="000000"/>
                <w:sz w:val="20"/>
                <w:szCs w:val="20"/>
              </w:rPr>
            </w:pPr>
          </w:p>
        </w:tc>
        <w:tc>
          <w:tcPr>
            <w:tcW w:w="1072" w:type="dxa"/>
            <w:shd w:val="clear" w:color="auto" w:fill="auto"/>
            <w:vAlign w:val="center"/>
          </w:tcPr>
          <w:p w14:paraId="5C3CC649" w14:textId="77777777" w:rsidR="00C90AAE" w:rsidRPr="006D2651" w:rsidRDefault="00C90AAE" w:rsidP="00A10F1B">
            <w:pPr>
              <w:spacing w:after="0"/>
              <w:jc w:val="center"/>
              <w:rPr>
                <w:rFonts w:ascii="Times New Roman" w:hAnsi="Times New Roman"/>
                <w:color w:val="000000"/>
                <w:sz w:val="20"/>
                <w:szCs w:val="20"/>
              </w:rPr>
            </w:pPr>
          </w:p>
        </w:tc>
      </w:tr>
      <w:tr w:rsidR="00C90AAE" w:rsidRPr="006D2651" w14:paraId="2E5E3926" w14:textId="77777777" w:rsidTr="00A10F1B">
        <w:trPr>
          <w:trHeight w:val="306"/>
        </w:trPr>
        <w:tc>
          <w:tcPr>
            <w:tcW w:w="2529" w:type="dxa"/>
            <w:shd w:val="clear" w:color="auto" w:fill="auto"/>
            <w:noWrap/>
            <w:vAlign w:val="center"/>
            <w:hideMark/>
          </w:tcPr>
          <w:p w14:paraId="03775B5C" w14:textId="77777777" w:rsidR="00C90AAE" w:rsidRPr="006D2651" w:rsidRDefault="00C90AAE" w:rsidP="00A10F1B">
            <w:pPr>
              <w:spacing w:after="0"/>
              <w:rPr>
                <w:rFonts w:ascii="Times New Roman" w:eastAsia="Times New Roman" w:hAnsi="Times New Roman"/>
                <w:sz w:val="20"/>
                <w:szCs w:val="20"/>
              </w:rPr>
            </w:pPr>
            <w:r w:rsidRPr="006D2651">
              <w:rPr>
                <w:rFonts w:ascii="Times New Roman" w:eastAsia="Times New Roman" w:hAnsi="Times New Roman"/>
                <w:sz w:val="20"/>
                <w:szCs w:val="20"/>
              </w:rPr>
              <w:t>Capex (₹/ crore)</w:t>
            </w:r>
          </w:p>
        </w:tc>
        <w:tc>
          <w:tcPr>
            <w:tcW w:w="1588" w:type="dxa"/>
            <w:shd w:val="clear" w:color="auto" w:fill="auto"/>
            <w:vAlign w:val="center"/>
          </w:tcPr>
          <w:p w14:paraId="14F87FFD"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C</w:t>
            </w:r>
          </w:p>
        </w:tc>
        <w:tc>
          <w:tcPr>
            <w:tcW w:w="1071" w:type="dxa"/>
            <w:shd w:val="clear" w:color="auto" w:fill="auto"/>
            <w:noWrap/>
            <w:vAlign w:val="center"/>
          </w:tcPr>
          <w:p w14:paraId="1C52BCC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072" w:type="dxa"/>
            <w:shd w:val="clear" w:color="auto" w:fill="auto"/>
            <w:noWrap/>
            <w:vAlign w:val="center"/>
          </w:tcPr>
          <w:p w14:paraId="2D216DD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071" w:type="dxa"/>
            <w:shd w:val="clear" w:color="auto" w:fill="auto"/>
            <w:vAlign w:val="center"/>
          </w:tcPr>
          <w:p w14:paraId="767FD6D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072" w:type="dxa"/>
            <w:shd w:val="clear" w:color="auto" w:fill="auto"/>
            <w:vAlign w:val="center"/>
          </w:tcPr>
          <w:p w14:paraId="21624BC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c>
          <w:tcPr>
            <w:tcW w:w="1072" w:type="dxa"/>
            <w:shd w:val="clear" w:color="auto" w:fill="auto"/>
            <w:vAlign w:val="center"/>
          </w:tcPr>
          <w:p w14:paraId="5302D2C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w:t>
            </w:r>
          </w:p>
        </w:tc>
      </w:tr>
      <w:tr w:rsidR="00C90AAE" w:rsidRPr="006D2651" w14:paraId="7A62023E" w14:textId="77777777" w:rsidTr="00A10F1B">
        <w:trPr>
          <w:trHeight w:val="306"/>
        </w:trPr>
        <w:tc>
          <w:tcPr>
            <w:tcW w:w="2529" w:type="dxa"/>
            <w:shd w:val="clear" w:color="auto" w:fill="auto"/>
            <w:noWrap/>
            <w:vAlign w:val="center"/>
            <w:hideMark/>
          </w:tcPr>
          <w:p w14:paraId="6FC33A7F" w14:textId="77777777" w:rsidR="00C90AAE" w:rsidRPr="006D2651" w:rsidRDefault="00C90AAE" w:rsidP="00A10F1B">
            <w:pPr>
              <w:spacing w:after="0"/>
              <w:rPr>
                <w:rFonts w:ascii="Times New Roman" w:eastAsia="Times New Roman" w:hAnsi="Times New Roman"/>
                <w:sz w:val="20"/>
                <w:szCs w:val="20"/>
              </w:rPr>
            </w:pPr>
            <w:proofErr w:type="spellStart"/>
            <w:r w:rsidRPr="006D2651">
              <w:rPr>
                <w:rFonts w:ascii="Times New Roman" w:eastAsia="Times New Roman" w:hAnsi="Times New Roman"/>
                <w:sz w:val="20"/>
                <w:szCs w:val="20"/>
              </w:rPr>
              <w:t>Opex</w:t>
            </w:r>
            <w:proofErr w:type="spellEnd"/>
            <w:r w:rsidRPr="006D2651">
              <w:rPr>
                <w:rFonts w:ascii="Times New Roman" w:eastAsia="Times New Roman" w:hAnsi="Times New Roman"/>
                <w:sz w:val="20"/>
                <w:szCs w:val="20"/>
              </w:rPr>
              <w:t xml:space="preserve"> (₹/ crore)</w:t>
            </w:r>
          </w:p>
        </w:tc>
        <w:tc>
          <w:tcPr>
            <w:tcW w:w="1588" w:type="dxa"/>
            <w:shd w:val="clear" w:color="auto" w:fill="auto"/>
            <w:vAlign w:val="center"/>
          </w:tcPr>
          <w:p w14:paraId="2FA81638"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D</w:t>
            </w:r>
          </w:p>
        </w:tc>
        <w:tc>
          <w:tcPr>
            <w:tcW w:w="1071" w:type="dxa"/>
            <w:shd w:val="clear" w:color="auto" w:fill="auto"/>
            <w:noWrap/>
            <w:vAlign w:val="center"/>
          </w:tcPr>
          <w:p w14:paraId="5E69346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624.85 </w:t>
            </w:r>
          </w:p>
        </w:tc>
        <w:tc>
          <w:tcPr>
            <w:tcW w:w="1072" w:type="dxa"/>
            <w:shd w:val="clear" w:color="auto" w:fill="auto"/>
            <w:noWrap/>
            <w:vAlign w:val="center"/>
          </w:tcPr>
          <w:p w14:paraId="050BB63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643.59 </w:t>
            </w:r>
          </w:p>
        </w:tc>
        <w:tc>
          <w:tcPr>
            <w:tcW w:w="1071" w:type="dxa"/>
            <w:shd w:val="clear" w:color="auto" w:fill="auto"/>
            <w:vAlign w:val="center"/>
          </w:tcPr>
          <w:p w14:paraId="2D597C2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662.90 </w:t>
            </w:r>
          </w:p>
        </w:tc>
        <w:tc>
          <w:tcPr>
            <w:tcW w:w="1072" w:type="dxa"/>
            <w:shd w:val="clear" w:color="auto" w:fill="auto"/>
            <w:vAlign w:val="center"/>
          </w:tcPr>
          <w:p w14:paraId="5CFC8B6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682.79 </w:t>
            </w:r>
          </w:p>
        </w:tc>
        <w:tc>
          <w:tcPr>
            <w:tcW w:w="1072" w:type="dxa"/>
            <w:shd w:val="clear" w:color="auto" w:fill="auto"/>
            <w:vAlign w:val="center"/>
          </w:tcPr>
          <w:p w14:paraId="5F7DDBB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703.27 </w:t>
            </w:r>
          </w:p>
        </w:tc>
      </w:tr>
      <w:tr w:rsidR="00C90AAE" w:rsidRPr="006D2651" w14:paraId="468A30AA" w14:textId="77777777" w:rsidTr="00A10F1B">
        <w:trPr>
          <w:trHeight w:val="306"/>
        </w:trPr>
        <w:tc>
          <w:tcPr>
            <w:tcW w:w="2529" w:type="dxa"/>
            <w:shd w:val="clear" w:color="auto" w:fill="auto"/>
            <w:noWrap/>
            <w:vAlign w:val="center"/>
            <w:hideMark/>
          </w:tcPr>
          <w:p w14:paraId="1CFD08C6" w14:textId="77777777" w:rsidR="00C90AAE" w:rsidRPr="006D2651" w:rsidRDefault="00C90AAE" w:rsidP="00A10F1B">
            <w:pPr>
              <w:spacing w:after="0"/>
              <w:rPr>
                <w:rFonts w:ascii="Times New Roman" w:eastAsia="Times New Roman" w:hAnsi="Times New Roman"/>
                <w:sz w:val="20"/>
                <w:szCs w:val="20"/>
              </w:rPr>
            </w:pPr>
            <w:r w:rsidRPr="006D2651">
              <w:rPr>
                <w:rFonts w:ascii="Times New Roman" w:eastAsia="Times New Roman" w:hAnsi="Times New Roman"/>
                <w:sz w:val="20"/>
                <w:szCs w:val="20"/>
              </w:rPr>
              <w:t>Net cashflow Pre-Tax for project IRR (₹/ crore)</w:t>
            </w:r>
          </w:p>
        </w:tc>
        <w:tc>
          <w:tcPr>
            <w:tcW w:w="1588" w:type="dxa"/>
            <w:shd w:val="clear" w:color="auto" w:fill="auto"/>
            <w:vAlign w:val="center"/>
          </w:tcPr>
          <w:p w14:paraId="32465E56" w14:textId="77777777" w:rsidR="00C90AAE" w:rsidRPr="006D2651" w:rsidRDefault="00C90AAE" w:rsidP="00A10F1B">
            <w:pPr>
              <w:spacing w:after="0"/>
              <w:rPr>
                <w:rFonts w:ascii="Times New Roman" w:hAnsi="Times New Roman"/>
                <w:sz w:val="20"/>
                <w:szCs w:val="20"/>
              </w:rPr>
            </w:pPr>
            <w:r w:rsidRPr="006D2651">
              <w:rPr>
                <w:rFonts w:ascii="Times New Roman" w:hAnsi="Times New Roman"/>
                <w:sz w:val="20"/>
                <w:szCs w:val="20"/>
              </w:rPr>
              <w:t>B - C – D</w:t>
            </w:r>
          </w:p>
        </w:tc>
        <w:tc>
          <w:tcPr>
            <w:tcW w:w="1071" w:type="dxa"/>
            <w:shd w:val="clear" w:color="auto" w:fill="auto"/>
            <w:noWrap/>
            <w:vAlign w:val="center"/>
          </w:tcPr>
          <w:p w14:paraId="509DCAE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989.85 </w:t>
            </w:r>
          </w:p>
        </w:tc>
        <w:tc>
          <w:tcPr>
            <w:tcW w:w="1072" w:type="dxa"/>
            <w:shd w:val="clear" w:color="auto" w:fill="auto"/>
            <w:noWrap/>
            <w:vAlign w:val="center"/>
          </w:tcPr>
          <w:p w14:paraId="507CF81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1,401.92 </w:t>
            </w:r>
          </w:p>
        </w:tc>
        <w:tc>
          <w:tcPr>
            <w:tcW w:w="1071" w:type="dxa"/>
            <w:shd w:val="clear" w:color="auto" w:fill="auto"/>
            <w:vAlign w:val="center"/>
          </w:tcPr>
          <w:p w14:paraId="6545BEA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1,859.62 </w:t>
            </w:r>
          </w:p>
        </w:tc>
        <w:tc>
          <w:tcPr>
            <w:tcW w:w="1072" w:type="dxa"/>
            <w:shd w:val="clear" w:color="auto" w:fill="auto"/>
            <w:vAlign w:val="center"/>
          </w:tcPr>
          <w:p w14:paraId="3FB0E18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2,362.95 </w:t>
            </w:r>
          </w:p>
        </w:tc>
        <w:tc>
          <w:tcPr>
            <w:tcW w:w="1072" w:type="dxa"/>
            <w:shd w:val="clear" w:color="auto" w:fill="auto"/>
            <w:vAlign w:val="center"/>
          </w:tcPr>
          <w:p w14:paraId="7FC869A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2,911.88 </w:t>
            </w:r>
          </w:p>
        </w:tc>
      </w:tr>
    </w:tbl>
    <w:p w14:paraId="5D391F77" w14:textId="77777777" w:rsidR="00C34994" w:rsidRDefault="00C90AAE" w:rsidP="00C90AAE">
      <w:pPr>
        <w:spacing w:before="160" w:after="0"/>
        <w:jc w:val="both"/>
        <w:rPr>
          <w:rFonts w:ascii="Times New Roman" w:hAnsi="Times New Roman"/>
          <w:sz w:val="20"/>
          <w:szCs w:val="20"/>
        </w:rPr>
      </w:pPr>
      <w:r w:rsidRPr="006D2651">
        <w:rPr>
          <w:rFonts w:ascii="Times New Roman" w:hAnsi="Times New Roman"/>
          <w:sz w:val="20"/>
          <w:szCs w:val="20"/>
        </w:rPr>
        <w:t>The tariff rates from operational year 11</w:t>
      </w:r>
      <w:r w:rsidRPr="006D2651">
        <w:rPr>
          <w:rFonts w:ascii="Times New Roman" w:hAnsi="Times New Roman"/>
          <w:sz w:val="20"/>
          <w:szCs w:val="20"/>
          <w:vertAlign w:val="superscript"/>
        </w:rPr>
        <w:t>th</w:t>
      </w:r>
      <w:r w:rsidRPr="006D2651">
        <w:rPr>
          <w:rFonts w:ascii="Times New Roman" w:hAnsi="Times New Roman"/>
          <w:sz w:val="20"/>
          <w:szCs w:val="20"/>
        </w:rPr>
        <w:t xml:space="preserve"> onwards are calculated considering the NFA in the 11</w:t>
      </w:r>
      <w:r w:rsidRPr="006D2651">
        <w:rPr>
          <w:rFonts w:ascii="Times New Roman" w:hAnsi="Times New Roman"/>
          <w:sz w:val="20"/>
          <w:szCs w:val="20"/>
          <w:vertAlign w:val="superscript"/>
        </w:rPr>
        <w:t>th</w:t>
      </w:r>
      <w:r w:rsidRPr="006D2651">
        <w:rPr>
          <w:rFonts w:ascii="Times New Roman" w:hAnsi="Times New Roman"/>
          <w:sz w:val="20"/>
          <w:szCs w:val="20"/>
        </w:rPr>
        <w:t xml:space="preserve"> year operation. The cashflows for rest of the economic life (primarily revenue and in turn tariffs) are calculated such that project returns </w:t>
      </w:r>
    </w:p>
    <w:p w14:paraId="173D1B96" w14:textId="77777777" w:rsidR="00C34994" w:rsidRDefault="00C34994" w:rsidP="00C90AAE">
      <w:pPr>
        <w:spacing w:before="160" w:after="0"/>
        <w:jc w:val="both"/>
        <w:rPr>
          <w:rFonts w:ascii="Times New Roman" w:hAnsi="Times New Roman"/>
          <w:sz w:val="20"/>
          <w:szCs w:val="20"/>
        </w:rPr>
      </w:pPr>
    </w:p>
    <w:p w14:paraId="62B2FAD6" w14:textId="17D21CAA" w:rsidR="00C90AAE" w:rsidRPr="006D2651" w:rsidRDefault="00C90AAE" w:rsidP="00C90AAE">
      <w:pPr>
        <w:spacing w:before="160" w:after="0"/>
        <w:jc w:val="both"/>
        <w:rPr>
          <w:rFonts w:ascii="Times New Roman" w:hAnsi="Times New Roman"/>
          <w:sz w:val="20"/>
          <w:szCs w:val="20"/>
        </w:rPr>
      </w:pPr>
      <w:r w:rsidRPr="006D2651">
        <w:rPr>
          <w:rFonts w:ascii="Times New Roman" w:hAnsi="Times New Roman"/>
          <w:sz w:val="20"/>
          <w:szCs w:val="20"/>
        </w:rPr>
        <w:t>are capped at 12 per cent post tax. The cashflows and corresponding levelized tariff which yield the post-tax returns @12 per cent are as per the table below:</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856"/>
        <w:gridCol w:w="1097"/>
        <w:gridCol w:w="1097"/>
        <w:gridCol w:w="1097"/>
        <w:gridCol w:w="1097"/>
        <w:gridCol w:w="1097"/>
        <w:gridCol w:w="1097"/>
        <w:gridCol w:w="1098"/>
      </w:tblGrid>
      <w:tr w:rsidR="00C90AAE" w:rsidRPr="006D2651" w14:paraId="099C74E5" w14:textId="77777777" w:rsidTr="00A10F1B">
        <w:trPr>
          <w:trHeight w:val="336"/>
        </w:trPr>
        <w:tc>
          <w:tcPr>
            <w:tcW w:w="1856" w:type="dxa"/>
            <w:shd w:val="clear" w:color="auto" w:fill="auto"/>
            <w:noWrap/>
            <w:vAlign w:val="center"/>
            <w:hideMark/>
          </w:tcPr>
          <w:p w14:paraId="074DC5D4"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1097" w:type="dxa"/>
            <w:shd w:val="clear" w:color="auto" w:fill="auto"/>
            <w:noWrap/>
            <w:vAlign w:val="center"/>
            <w:hideMark/>
          </w:tcPr>
          <w:p w14:paraId="4DAB0093"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Y11</w:t>
            </w:r>
          </w:p>
        </w:tc>
        <w:tc>
          <w:tcPr>
            <w:tcW w:w="1097" w:type="dxa"/>
            <w:shd w:val="clear" w:color="auto" w:fill="auto"/>
            <w:noWrap/>
            <w:vAlign w:val="center"/>
            <w:hideMark/>
          </w:tcPr>
          <w:p w14:paraId="3441E7D6"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Y12</w:t>
            </w:r>
          </w:p>
        </w:tc>
        <w:tc>
          <w:tcPr>
            <w:tcW w:w="1097" w:type="dxa"/>
            <w:shd w:val="clear" w:color="auto" w:fill="auto"/>
            <w:noWrap/>
            <w:vAlign w:val="center"/>
            <w:hideMark/>
          </w:tcPr>
          <w:p w14:paraId="5F67CDD0"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Y13</w:t>
            </w:r>
          </w:p>
        </w:tc>
        <w:tc>
          <w:tcPr>
            <w:tcW w:w="1097" w:type="dxa"/>
            <w:shd w:val="clear" w:color="auto" w:fill="auto"/>
            <w:noWrap/>
            <w:vAlign w:val="center"/>
            <w:hideMark/>
          </w:tcPr>
          <w:p w14:paraId="2C4F92EF"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Y14</w:t>
            </w:r>
          </w:p>
        </w:tc>
        <w:tc>
          <w:tcPr>
            <w:tcW w:w="1097" w:type="dxa"/>
            <w:shd w:val="clear" w:color="auto" w:fill="auto"/>
            <w:noWrap/>
            <w:vAlign w:val="center"/>
            <w:hideMark/>
          </w:tcPr>
          <w:p w14:paraId="03C4A3A9"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Y15</w:t>
            </w:r>
          </w:p>
        </w:tc>
        <w:tc>
          <w:tcPr>
            <w:tcW w:w="1097" w:type="dxa"/>
            <w:shd w:val="clear" w:color="auto" w:fill="auto"/>
            <w:vAlign w:val="center"/>
          </w:tcPr>
          <w:p w14:paraId="29C72CCA"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Y16</w:t>
            </w:r>
          </w:p>
        </w:tc>
        <w:tc>
          <w:tcPr>
            <w:tcW w:w="1098" w:type="dxa"/>
            <w:shd w:val="clear" w:color="auto" w:fill="auto"/>
            <w:vAlign w:val="center"/>
          </w:tcPr>
          <w:p w14:paraId="590E032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Y17</w:t>
            </w:r>
          </w:p>
        </w:tc>
      </w:tr>
      <w:tr w:rsidR="00C90AAE" w:rsidRPr="006D2651" w14:paraId="08B8F53F" w14:textId="77777777" w:rsidTr="00A10F1B">
        <w:trPr>
          <w:trHeight w:val="336"/>
        </w:trPr>
        <w:tc>
          <w:tcPr>
            <w:tcW w:w="1856" w:type="dxa"/>
            <w:shd w:val="clear" w:color="auto" w:fill="auto"/>
            <w:noWrap/>
            <w:vAlign w:val="center"/>
            <w:hideMark/>
          </w:tcPr>
          <w:p w14:paraId="523D3AB9"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Calculated Tariff (</w:t>
            </w:r>
            <w:r w:rsidRPr="006D2651">
              <w:rPr>
                <w:rFonts w:ascii="Times New Roman" w:eastAsia="Times New Roman" w:hAnsi="Times New Roman"/>
                <w:sz w:val="20"/>
                <w:szCs w:val="20"/>
              </w:rPr>
              <w:t>₹</w:t>
            </w:r>
            <w:r w:rsidRPr="006D2651">
              <w:rPr>
                <w:rFonts w:ascii="Times New Roman" w:eastAsia="Times New Roman" w:hAnsi="Times New Roman"/>
                <w:color w:val="000000"/>
                <w:sz w:val="20"/>
                <w:szCs w:val="20"/>
              </w:rPr>
              <w:t>/MT/km)</w:t>
            </w:r>
          </w:p>
        </w:tc>
        <w:tc>
          <w:tcPr>
            <w:tcW w:w="1097" w:type="dxa"/>
            <w:shd w:val="clear" w:color="auto" w:fill="auto"/>
            <w:noWrap/>
            <w:vAlign w:val="center"/>
          </w:tcPr>
          <w:p w14:paraId="1202BAA1" w14:textId="77777777" w:rsidR="00C90AAE" w:rsidRPr="006D2651" w:rsidRDefault="00C90AAE" w:rsidP="00A10F1B">
            <w:pPr>
              <w:spacing w:after="0"/>
              <w:jc w:val="center"/>
              <w:rPr>
                <w:rFonts w:ascii="Times New Roman" w:eastAsia="Times New Roman" w:hAnsi="Times New Roman"/>
                <w:b/>
                <w:color w:val="000000"/>
                <w:sz w:val="20"/>
                <w:szCs w:val="20"/>
              </w:rPr>
            </w:pPr>
            <w:r w:rsidRPr="006D2651">
              <w:rPr>
                <w:rFonts w:ascii="Times New Roman" w:hAnsi="Times New Roman"/>
                <w:color w:val="000000"/>
                <w:sz w:val="20"/>
                <w:szCs w:val="20"/>
              </w:rPr>
              <w:t xml:space="preserve">1.69 </w:t>
            </w:r>
          </w:p>
        </w:tc>
        <w:tc>
          <w:tcPr>
            <w:tcW w:w="1097" w:type="dxa"/>
            <w:shd w:val="clear" w:color="auto" w:fill="auto"/>
            <w:noWrap/>
            <w:vAlign w:val="center"/>
          </w:tcPr>
          <w:p w14:paraId="0DBE69CA" w14:textId="77777777" w:rsidR="00C90AAE" w:rsidRPr="006D2651" w:rsidRDefault="00C90AAE" w:rsidP="00A10F1B">
            <w:pPr>
              <w:spacing w:after="0"/>
              <w:jc w:val="center"/>
              <w:rPr>
                <w:rFonts w:ascii="Times New Roman" w:eastAsia="Times New Roman" w:hAnsi="Times New Roman"/>
                <w:b/>
                <w:color w:val="000000"/>
                <w:sz w:val="20"/>
                <w:szCs w:val="20"/>
              </w:rPr>
            </w:pPr>
            <w:r w:rsidRPr="006D2651">
              <w:rPr>
                <w:rFonts w:ascii="Times New Roman" w:hAnsi="Times New Roman"/>
                <w:color w:val="000000"/>
                <w:sz w:val="20"/>
                <w:szCs w:val="20"/>
              </w:rPr>
              <w:t xml:space="preserve">1.69 </w:t>
            </w:r>
          </w:p>
        </w:tc>
        <w:tc>
          <w:tcPr>
            <w:tcW w:w="1097" w:type="dxa"/>
            <w:shd w:val="clear" w:color="auto" w:fill="auto"/>
            <w:noWrap/>
            <w:vAlign w:val="center"/>
          </w:tcPr>
          <w:p w14:paraId="5CED1FCE" w14:textId="77777777" w:rsidR="00C90AAE" w:rsidRPr="006D2651" w:rsidRDefault="00C90AAE" w:rsidP="00A10F1B">
            <w:pPr>
              <w:spacing w:after="0"/>
              <w:jc w:val="center"/>
              <w:rPr>
                <w:rFonts w:ascii="Times New Roman" w:eastAsia="Times New Roman" w:hAnsi="Times New Roman"/>
                <w:b/>
                <w:color w:val="000000"/>
                <w:sz w:val="20"/>
                <w:szCs w:val="20"/>
              </w:rPr>
            </w:pPr>
            <w:r w:rsidRPr="006D2651">
              <w:rPr>
                <w:rFonts w:ascii="Times New Roman" w:hAnsi="Times New Roman"/>
                <w:color w:val="000000"/>
                <w:sz w:val="20"/>
                <w:szCs w:val="20"/>
              </w:rPr>
              <w:t xml:space="preserve">1.69 </w:t>
            </w:r>
          </w:p>
        </w:tc>
        <w:tc>
          <w:tcPr>
            <w:tcW w:w="1097" w:type="dxa"/>
            <w:shd w:val="clear" w:color="auto" w:fill="auto"/>
            <w:noWrap/>
            <w:vAlign w:val="center"/>
          </w:tcPr>
          <w:p w14:paraId="0FEA0F3C" w14:textId="77777777" w:rsidR="00C90AAE" w:rsidRPr="006D2651" w:rsidRDefault="00C90AAE" w:rsidP="00A10F1B">
            <w:pPr>
              <w:spacing w:after="0"/>
              <w:jc w:val="center"/>
              <w:rPr>
                <w:rFonts w:ascii="Times New Roman" w:eastAsia="Times New Roman" w:hAnsi="Times New Roman"/>
                <w:b/>
                <w:color w:val="000000"/>
                <w:sz w:val="20"/>
                <w:szCs w:val="20"/>
              </w:rPr>
            </w:pPr>
            <w:r w:rsidRPr="006D2651">
              <w:rPr>
                <w:rFonts w:ascii="Times New Roman" w:hAnsi="Times New Roman"/>
                <w:color w:val="000000"/>
                <w:sz w:val="20"/>
                <w:szCs w:val="20"/>
              </w:rPr>
              <w:t xml:space="preserve">1.69 </w:t>
            </w:r>
          </w:p>
        </w:tc>
        <w:tc>
          <w:tcPr>
            <w:tcW w:w="1097" w:type="dxa"/>
            <w:shd w:val="clear" w:color="auto" w:fill="auto"/>
            <w:noWrap/>
            <w:vAlign w:val="center"/>
          </w:tcPr>
          <w:p w14:paraId="21572BC5" w14:textId="77777777" w:rsidR="00C90AAE" w:rsidRPr="006D2651" w:rsidRDefault="00C90AAE" w:rsidP="00A10F1B">
            <w:pPr>
              <w:spacing w:after="0"/>
              <w:jc w:val="center"/>
              <w:rPr>
                <w:rFonts w:ascii="Times New Roman" w:eastAsia="Times New Roman" w:hAnsi="Times New Roman"/>
                <w:b/>
                <w:color w:val="000000"/>
                <w:sz w:val="20"/>
                <w:szCs w:val="20"/>
              </w:rPr>
            </w:pPr>
            <w:r w:rsidRPr="006D2651">
              <w:rPr>
                <w:rFonts w:ascii="Times New Roman" w:hAnsi="Times New Roman"/>
                <w:color w:val="000000"/>
                <w:sz w:val="20"/>
                <w:szCs w:val="20"/>
              </w:rPr>
              <w:t xml:space="preserve">1.69 </w:t>
            </w:r>
          </w:p>
        </w:tc>
        <w:tc>
          <w:tcPr>
            <w:tcW w:w="1097" w:type="dxa"/>
            <w:shd w:val="clear" w:color="auto" w:fill="auto"/>
            <w:vAlign w:val="center"/>
          </w:tcPr>
          <w:p w14:paraId="2836D62C"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1098" w:type="dxa"/>
            <w:shd w:val="clear" w:color="auto" w:fill="auto"/>
            <w:vAlign w:val="center"/>
          </w:tcPr>
          <w:p w14:paraId="5AC312E6"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r>
      <w:tr w:rsidR="00C90AAE" w:rsidRPr="006D2651" w14:paraId="4AFCF728" w14:textId="77777777" w:rsidTr="00A10F1B">
        <w:trPr>
          <w:trHeight w:val="336"/>
        </w:trPr>
        <w:tc>
          <w:tcPr>
            <w:tcW w:w="1856" w:type="dxa"/>
            <w:shd w:val="clear" w:color="auto" w:fill="auto"/>
            <w:noWrap/>
            <w:vAlign w:val="center"/>
            <w:hideMark/>
          </w:tcPr>
          <w:p w14:paraId="3AA536BF" w14:textId="77777777" w:rsidR="00C90AAE" w:rsidRPr="006D2651" w:rsidRDefault="00C90AAE" w:rsidP="00A10F1B">
            <w:pPr>
              <w:spacing w:after="0"/>
              <w:rPr>
                <w:rFonts w:ascii="Times New Roman" w:eastAsia="Times New Roman" w:hAnsi="Times New Roman"/>
                <w:b/>
                <w:color w:val="000000"/>
                <w:sz w:val="20"/>
                <w:szCs w:val="20"/>
              </w:rPr>
            </w:pPr>
            <w:r w:rsidRPr="006D2651">
              <w:rPr>
                <w:rFonts w:ascii="Times New Roman" w:eastAsia="Times New Roman" w:hAnsi="Times New Roman"/>
                <w:b/>
                <w:color w:val="000000"/>
                <w:sz w:val="20"/>
                <w:szCs w:val="20"/>
              </w:rPr>
              <w:t>Cash Inflow</w:t>
            </w:r>
          </w:p>
        </w:tc>
        <w:tc>
          <w:tcPr>
            <w:tcW w:w="1097" w:type="dxa"/>
            <w:shd w:val="clear" w:color="auto" w:fill="auto"/>
            <w:noWrap/>
            <w:vAlign w:val="center"/>
          </w:tcPr>
          <w:p w14:paraId="6F32147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6F478286"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25674D89"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0716482E"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7CDBC428"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vAlign w:val="center"/>
          </w:tcPr>
          <w:p w14:paraId="16011C4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8" w:type="dxa"/>
            <w:shd w:val="clear" w:color="auto" w:fill="auto"/>
            <w:vAlign w:val="center"/>
          </w:tcPr>
          <w:p w14:paraId="43A5CED7"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64314555" w14:textId="77777777" w:rsidTr="00A10F1B">
        <w:trPr>
          <w:trHeight w:val="336"/>
        </w:trPr>
        <w:tc>
          <w:tcPr>
            <w:tcW w:w="1856" w:type="dxa"/>
            <w:shd w:val="clear" w:color="auto" w:fill="auto"/>
            <w:noWrap/>
            <w:vAlign w:val="center"/>
            <w:hideMark/>
          </w:tcPr>
          <w:p w14:paraId="65A28655"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Revenue </w:t>
            </w:r>
            <w:r w:rsidRPr="006D2651">
              <w:rPr>
                <w:rFonts w:ascii="Times New Roman" w:eastAsia="Times New Roman" w:hAnsi="Times New Roman"/>
                <w:sz w:val="20"/>
                <w:szCs w:val="20"/>
              </w:rPr>
              <w:t>(₹/ crore)</w:t>
            </w:r>
          </w:p>
        </w:tc>
        <w:tc>
          <w:tcPr>
            <w:tcW w:w="1097" w:type="dxa"/>
            <w:shd w:val="clear" w:color="auto" w:fill="auto"/>
            <w:noWrap/>
            <w:vAlign w:val="center"/>
          </w:tcPr>
          <w:p w14:paraId="27084BB0"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976.75 </w:t>
            </w:r>
          </w:p>
        </w:tc>
        <w:tc>
          <w:tcPr>
            <w:tcW w:w="1097" w:type="dxa"/>
            <w:shd w:val="clear" w:color="auto" w:fill="auto"/>
            <w:noWrap/>
            <w:vAlign w:val="center"/>
          </w:tcPr>
          <w:p w14:paraId="044C6C7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976.75 </w:t>
            </w:r>
          </w:p>
        </w:tc>
        <w:tc>
          <w:tcPr>
            <w:tcW w:w="1097" w:type="dxa"/>
            <w:shd w:val="clear" w:color="auto" w:fill="auto"/>
            <w:noWrap/>
            <w:vAlign w:val="center"/>
          </w:tcPr>
          <w:p w14:paraId="02EAD12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976.75 </w:t>
            </w:r>
          </w:p>
        </w:tc>
        <w:tc>
          <w:tcPr>
            <w:tcW w:w="1097" w:type="dxa"/>
            <w:shd w:val="clear" w:color="auto" w:fill="auto"/>
            <w:noWrap/>
            <w:vAlign w:val="center"/>
          </w:tcPr>
          <w:p w14:paraId="0567760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976.75 </w:t>
            </w:r>
          </w:p>
        </w:tc>
        <w:tc>
          <w:tcPr>
            <w:tcW w:w="1097" w:type="dxa"/>
            <w:shd w:val="clear" w:color="auto" w:fill="auto"/>
            <w:noWrap/>
            <w:vAlign w:val="center"/>
          </w:tcPr>
          <w:p w14:paraId="6D28AE3C"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976.75 </w:t>
            </w:r>
          </w:p>
        </w:tc>
        <w:tc>
          <w:tcPr>
            <w:tcW w:w="1097" w:type="dxa"/>
            <w:shd w:val="clear" w:color="auto" w:fill="auto"/>
            <w:vAlign w:val="center"/>
          </w:tcPr>
          <w:p w14:paraId="4CB118A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1098" w:type="dxa"/>
            <w:shd w:val="clear" w:color="auto" w:fill="auto"/>
            <w:vAlign w:val="center"/>
          </w:tcPr>
          <w:p w14:paraId="410B290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r>
      <w:tr w:rsidR="00C90AAE" w:rsidRPr="006D2651" w14:paraId="302F3539" w14:textId="77777777" w:rsidTr="00A10F1B">
        <w:trPr>
          <w:trHeight w:val="336"/>
        </w:trPr>
        <w:tc>
          <w:tcPr>
            <w:tcW w:w="1856" w:type="dxa"/>
            <w:shd w:val="clear" w:color="auto" w:fill="auto"/>
            <w:noWrap/>
            <w:vAlign w:val="center"/>
            <w:hideMark/>
          </w:tcPr>
          <w:p w14:paraId="513DC7A3" w14:textId="77777777" w:rsidR="00C90AAE" w:rsidRPr="006D2651" w:rsidRDefault="00C90AAE" w:rsidP="00A10F1B">
            <w:pPr>
              <w:spacing w:after="0"/>
              <w:rPr>
                <w:rFonts w:ascii="Times New Roman" w:eastAsia="Times New Roman" w:hAnsi="Times New Roman"/>
                <w:b/>
                <w:color w:val="000000"/>
                <w:sz w:val="20"/>
                <w:szCs w:val="20"/>
              </w:rPr>
            </w:pPr>
            <w:r w:rsidRPr="006D2651">
              <w:rPr>
                <w:rFonts w:ascii="Times New Roman" w:eastAsia="Times New Roman" w:hAnsi="Times New Roman"/>
                <w:b/>
                <w:color w:val="000000"/>
                <w:sz w:val="20"/>
                <w:szCs w:val="20"/>
              </w:rPr>
              <w:t>Cash Outflow</w:t>
            </w:r>
          </w:p>
        </w:tc>
        <w:tc>
          <w:tcPr>
            <w:tcW w:w="1097" w:type="dxa"/>
            <w:shd w:val="clear" w:color="auto" w:fill="auto"/>
            <w:noWrap/>
            <w:vAlign w:val="center"/>
          </w:tcPr>
          <w:p w14:paraId="4A20986C"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5F8449C3"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710EB89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5CCBA71B"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noWrap/>
            <w:vAlign w:val="center"/>
          </w:tcPr>
          <w:p w14:paraId="0BD6B09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7" w:type="dxa"/>
            <w:shd w:val="clear" w:color="auto" w:fill="auto"/>
            <w:vAlign w:val="center"/>
          </w:tcPr>
          <w:p w14:paraId="46408AE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1098" w:type="dxa"/>
            <w:shd w:val="clear" w:color="auto" w:fill="auto"/>
            <w:vAlign w:val="center"/>
          </w:tcPr>
          <w:p w14:paraId="351CE2A2"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79B4C665" w14:textId="77777777" w:rsidTr="00A10F1B">
        <w:trPr>
          <w:trHeight w:val="336"/>
        </w:trPr>
        <w:tc>
          <w:tcPr>
            <w:tcW w:w="1856" w:type="dxa"/>
            <w:shd w:val="clear" w:color="auto" w:fill="auto"/>
            <w:noWrap/>
            <w:vAlign w:val="center"/>
            <w:hideMark/>
          </w:tcPr>
          <w:p w14:paraId="1E19936A"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Capex </w:t>
            </w:r>
            <w:r w:rsidRPr="006D2651">
              <w:rPr>
                <w:rFonts w:ascii="Times New Roman" w:eastAsia="Times New Roman" w:hAnsi="Times New Roman"/>
                <w:sz w:val="20"/>
                <w:szCs w:val="20"/>
              </w:rPr>
              <w:t>(₹/ crore)</w:t>
            </w:r>
          </w:p>
        </w:tc>
        <w:tc>
          <w:tcPr>
            <w:tcW w:w="1097" w:type="dxa"/>
            <w:shd w:val="clear" w:color="auto" w:fill="auto"/>
            <w:noWrap/>
            <w:vAlign w:val="center"/>
          </w:tcPr>
          <w:p w14:paraId="56391CD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973.90 </w:t>
            </w:r>
          </w:p>
        </w:tc>
        <w:tc>
          <w:tcPr>
            <w:tcW w:w="1097" w:type="dxa"/>
            <w:shd w:val="clear" w:color="auto" w:fill="auto"/>
            <w:noWrap/>
            <w:vAlign w:val="center"/>
          </w:tcPr>
          <w:p w14:paraId="6813CA4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w:t>
            </w:r>
          </w:p>
        </w:tc>
        <w:tc>
          <w:tcPr>
            <w:tcW w:w="1097" w:type="dxa"/>
            <w:shd w:val="clear" w:color="auto" w:fill="auto"/>
            <w:noWrap/>
            <w:vAlign w:val="center"/>
          </w:tcPr>
          <w:p w14:paraId="5A430644"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w:t>
            </w:r>
          </w:p>
        </w:tc>
        <w:tc>
          <w:tcPr>
            <w:tcW w:w="1097" w:type="dxa"/>
            <w:shd w:val="clear" w:color="auto" w:fill="auto"/>
            <w:noWrap/>
            <w:vAlign w:val="center"/>
          </w:tcPr>
          <w:p w14:paraId="585432B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w:t>
            </w:r>
          </w:p>
        </w:tc>
        <w:tc>
          <w:tcPr>
            <w:tcW w:w="1097" w:type="dxa"/>
            <w:shd w:val="clear" w:color="auto" w:fill="auto"/>
            <w:noWrap/>
            <w:vAlign w:val="center"/>
          </w:tcPr>
          <w:p w14:paraId="3129C84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w:t>
            </w:r>
          </w:p>
        </w:tc>
        <w:tc>
          <w:tcPr>
            <w:tcW w:w="1097" w:type="dxa"/>
            <w:shd w:val="clear" w:color="auto" w:fill="auto"/>
            <w:vAlign w:val="center"/>
          </w:tcPr>
          <w:p w14:paraId="2AF44D8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1098" w:type="dxa"/>
            <w:shd w:val="clear" w:color="auto" w:fill="auto"/>
            <w:vAlign w:val="center"/>
          </w:tcPr>
          <w:p w14:paraId="794F7E7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r>
      <w:tr w:rsidR="00C90AAE" w:rsidRPr="006D2651" w14:paraId="7E51A58E" w14:textId="77777777" w:rsidTr="00A10F1B">
        <w:trPr>
          <w:trHeight w:val="336"/>
        </w:trPr>
        <w:tc>
          <w:tcPr>
            <w:tcW w:w="1856" w:type="dxa"/>
            <w:shd w:val="clear" w:color="auto" w:fill="auto"/>
            <w:noWrap/>
            <w:vAlign w:val="center"/>
            <w:hideMark/>
          </w:tcPr>
          <w:p w14:paraId="272BFF10"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w:t>
            </w:r>
            <w:r w:rsidRPr="006D2651">
              <w:rPr>
                <w:rFonts w:ascii="Times New Roman" w:eastAsia="Times New Roman" w:hAnsi="Times New Roman"/>
                <w:sz w:val="20"/>
                <w:szCs w:val="20"/>
              </w:rPr>
              <w:t>(₹/ crore)</w:t>
            </w:r>
          </w:p>
        </w:tc>
        <w:tc>
          <w:tcPr>
            <w:tcW w:w="1097" w:type="dxa"/>
            <w:shd w:val="clear" w:color="auto" w:fill="auto"/>
            <w:noWrap/>
            <w:vAlign w:val="bottom"/>
          </w:tcPr>
          <w:p w14:paraId="5DE4D1B7"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724.37 </w:t>
            </w:r>
          </w:p>
        </w:tc>
        <w:tc>
          <w:tcPr>
            <w:tcW w:w="1097" w:type="dxa"/>
            <w:shd w:val="clear" w:color="auto" w:fill="auto"/>
            <w:noWrap/>
            <w:vAlign w:val="bottom"/>
          </w:tcPr>
          <w:p w14:paraId="2E4E4F92"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746.10 </w:t>
            </w:r>
          </w:p>
        </w:tc>
        <w:tc>
          <w:tcPr>
            <w:tcW w:w="1097" w:type="dxa"/>
            <w:shd w:val="clear" w:color="auto" w:fill="auto"/>
            <w:noWrap/>
            <w:vAlign w:val="bottom"/>
          </w:tcPr>
          <w:p w14:paraId="0D4F51B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768.49 </w:t>
            </w:r>
          </w:p>
        </w:tc>
        <w:tc>
          <w:tcPr>
            <w:tcW w:w="1097" w:type="dxa"/>
            <w:shd w:val="clear" w:color="auto" w:fill="auto"/>
            <w:noWrap/>
            <w:vAlign w:val="bottom"/>
          </w:tcPr>
          <w:p w14:paraId="36FE530A"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791.54 </w:t>
            </w:r>
          </w:p>
        </w:tc>
        <w:tc>
          <w:tcPr>
            <w:tcW w:w="1097" w:type="dxa"/>
            <w:shd w:val="clear" w:color="auto" w:fill="auto"/>
            <w:noWrap/>
            <w:vAlign w:val="bottom"/>
          </w:tcPr>
          <w:p w14:paraId="55C468A5"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815.29 </w:t>
            </w:r>
          </w:p>
        </w:tc>
        <w:tc>
          <w:tcPr>
            <w:tcW w:w="1097" w:type="dxa"/>
            <w:shd w:val="clear" w:color="auto" w:fill="auto"/>
            <w:vAlign w:val="bottom"/>
          </w:tcPr>
          <w:p w14:paraId="6AEF5CC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839.74 </w:t>
            </w:r>
          </w:p>
        </w:tc>
        <w:tc>
          <w:tcPr>
            <w:tcW w:w="1098" w:type="dxa"/>
            <w:shd w:val="clear" w:color="auto" w:fill="auto"/>
            <w:vAlign w:val="bottom"/>
          </w:tcPr>
          <w:p w14:paraId="7BC637A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864.94 </w:t>
            </w:r>
          </w:p>
        </w:tc>
      </w:tr>
      <w:tr w:rsidR="00C90AAE" w:rsidRPr="006D2651" w14:paraId="086006F3" w14:textId="77777777" w:rsidTr="00A10F1B">
        <w:trPr>
          <w:trHeight w:val="336"/>
        </w:trPr>
        <w:tc>
          <w:tcPr>
            <w:tcW w:w="1856" w:type="dxa"/>
            <w:shd w:val="clear" w:color="auto" w:fill="auto"/>
            <w:noWrap/>
            <w:vAlign w:val="center"/>
            <w:hideMark/>
          </w:tcPr>
          <w:p w14:paraId="1D493917"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Net cashflow Pre-Tax for project IRR </w:t>
            </w:r>
            <w:r w:rsidRPr="006D2651">
              <w:rPr>
                <w:rFonts w:ascii="Times New Roman" w:eastAsia="Times New Roman" w:hAnsi="Times New Roman"/>
                <w:sz w:val="20"/>
                <w:szCs w:val="20"/>
              </w:rPr>
              <w:t>(₹/ crore)</w:t>
            </w:r>
          </w:p>
        </w:tc>
        <w:tc>
          <w:tcPr>
            <w:tcW w:w="1097" w:type="dxa"/>
            <w:shd w:val="clear" w:color="auto" w:fill="auto"/>
            <w:noWrap/>
            <w:vAlign w:val="bottom"/>
          </w:tcPr>
          <w:p w14:paraId="1D1FEE9D"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(721.52)</w:t>
            </w:r>
          </w:p>
        </w:tc>
        <w:tc>
          <w:tcPr>
            <w:tcW w:w="1097" w:type="dxa"/>
            <w:shd w:val="clear" w:color="auto" w:fill="auto"/>
            <w:noWrap/>
            <w:vAlign w:val="bottom"/>
          </w:tcPr>
          <w:p w14:paraId="6D11CCE8"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230.65 </w:t>
            </w:r>
          </w:p>
        </w:tc>
        <w:tc>
          <w:tcPr>
            <w:tcW w:w="1097" w:type="dxa"/>
            <w:shd w:val="clear" w:color="auto" w:fill="auto"/>
            <w:noWrap/>
            <w:vAlign w:val="bottom"/>
          </w:tcPr>
          <w:p w14:paraId="5EEED23F"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208.27 </w:t>
            </w:r>
          </w:p>
        </w:tc>
        <w:tc>
          <w:tcPr>
            <w:tcW w:w="1097" w:type="dxa"/>
            <w:shd w:val="clear" w:color="auto" w:fill="auto"/>
            <w:noWrap/>
            <w:vAlign w:val="bottom"/>
          </w:tcPr>
          <w:p w14:paraId="0B049F5E"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185.21 </w:t>
            </w:r>
          </w:p>
        </w:tc>
        <w:tc>
          <w:tcPr>
            <w:tcW w:w="1097" w:type="dxa"/>
            <w:shd w:val="clear" w:color="auto" w:fill="auto"/>
            <w:noWrap/>
            <w:vAlign w:val="bottom"/>
          </w:tcPr>
          <w:p w14:paraId="4B62A2E1" w14:textId="77777777" w:rsidR="00C90AAE" w:rsidRPr="006D2651" w:rsidRDefault="00C90AAE" w:rsidP="00A10F1B">
            <w:pPr>
              <w:spacing w:after="0"/>
              <w:jc w:val="center"/>
              <w:rPr>
                <w:rFonts w:ascii="Times New Roman" w:eastAsia="Times New Roman" w:hAnsi="Times New Roman"/>
                <w:color w:val="000000"/>
                <w:sz w:val="20"/>
                <w:szCs w:val="20"/>
              </w:rPr>
            </w:pPr>
            <w:r w:rsidRPr="006D2651">
              <w:rPr>
                <w:rFonts w:ascii="Times New Roman" w:hAnsi="Times New Roman"/>
                <w:color w:val="000000"/>
                <w:sz w:val="20"/>
                <w:szCs w:val="20"/>
              </w:rPr>
              <w:t xml:space="preserve">    161.47 </w:t>
            </w:r>
          </w:p>
        </w:tc>
        <w:tc>
          <w:tcPr>
            <w:tcW w:w="1097" w:type="dxa"/>
            <w:shd w:val="clear" w:color="auto" w:fill="auto"/>
            <w:vAlign w:val="bottom"/>
          </w:tcPr>
          <w:p w14:paraId="220F616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137.01 </w:t>
            </w:r>
          </w:p>
        </w:tc>
        <w:tc>
          <w:tcPr>
            <w:tcW w:w="1098" w:type="dxa"/>
            <w:shd w:val="clear" w:color="auto" w:fill="auto"/>
            <w:vAlign w:val="bottom"/>
          </w:tcPr>
          <w:p w14:paraId="4317F00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111.81 </w:t>
            </w:r>
          </w:p>
        </w:tc>
      </w:tr>
    </w:tbl>
    <w:p w14:paraId="66F759EA" w14:textId="77777777" w:rsidR="00C90AAE" w:rsidRPr="006D2651" w:rsidRDefault="00C90AAE" w:rsidP="00C90AAE">
      <w:pPr>
        <w:spacing w:after="0"/>
        <w:rPr>
          <w:rFonts w:ascii="Times New Roman" w:hAnsi="Times New Roman"/>
          <w:sz w:val="20"/>
          <w:szCs w:val="20"/>
        </w:rPr>
      </w:pP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861"/>
        <w:gridCol w:w="1022"/>
        <w:gridCol w:w="952"/>
        <w:gridCol w:w="951"/>
        <w:gridCol w:w="952"/>
        <w:gridCol w:w="951"/>
        <w:gridCol w:w="952"/>
        <w:gridCol w:w="951"/>
        <w:gridCol w:w="952"/>
      </w:tblGrid>
      <w:tr w:rsidR="00C90AAE" w:rsidRPr="006D2651" w14:paraId="7AF54937" w14:textId="77777777" w:rsidTr="00A10F1B">
        <w:trPr>
          <w:trHeight w:val="327"/>
        </w:trPr>
        <w:tc>
          <w:tcPr>
            <w:tcW w:w="1861" w:type="dxa"/>
            <w:shd w:val="clear" w:color="auto" w:fill="auto"/>
            <w:noWrap/>
            <w:vAlign w:val="center"/>
            <w:hideMark/>
          </w:tcPr>
          <w:p w14:paraId="3A414458" w14:textId="77777777" w:rsidR="00C90AAE" w:rsidRPr="006D2651" w:rsidRDefault="00C90AAE" w:rsidP="00A10F1B">
            <w:pPr>
              <w:spacing w:after="0"/>
              <w:rPr>
                <w:rFonts w:ascii="Times New Roman" w:eastAsia="Times New Roman" w:hAnsi="Times New Roman"/>
                <w:b/>
                <w:sz w:val="20"/>
                <w:szCs w:val="20"/>
              </w:rPr>
            </w:pPr>
            <w:r w:rsidRPr="006D2651">
              <w:rPr>
                <w:rFonts w:ascii="Times New Roman" w:eastAsia="Times New Roman" w:hAnsi="Times New Roman"/>
                <w:b/>
                <w:bCs/>
                <w:sz w:val="20"/>
                <w:szCs w:val="20"/>
              </w:rPr>
              <w:t>Year</w:t>
            </w:r>
          </w:p>
        </w:tc>
        <w:tc>
          <w:tcPr>
            <w:tcW w:w="1022" w:type="dxa"/>
            <w:shd w:val="clear" w:color="auto" w:fill="auto"/>
            <w:vAlign w:val="center"/>
          </w:tcPr>
          <w:p w14:paraId="74E7B1BE"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Y18</w:t>
            </w:r>
          </w:p>
        </w:tc>
        <w:tc>
          <w:tcPr>
            <w:tcW w:w="952" w:type="dxa"/>
            <w:shd w:val="clear" w:color="auto" w:fill="auto"/>
            <w:vAlign w:val="center"/>
          </w:tcPr>
          <w:p w14:paraId="779AB4B1"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Y19</w:t>
            </w:r>
          </w:p>
        </w:tc>
        <w:tc>
          <w:tcPr>
            <w:tcW w:w="951" w:type="dxa"/>
            <w:shd w:val="clear" w:color="auto" w:fill="auto"/>
            <w:vAlign w:val="center"/>
          </w:tcPr>
          <w:p w14:paraId="0512CF15"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Y20</w:t>
            </w:r>
          </w:p>
        </w:tc>
        <w:tc>
          <w:tcPr>
            <w:tcW w:w="952" w:type="dxa"/>
            <w:shd w:val="clear" w:color="auto" w:fill="auto"/>
            <w:vAlign w:val="center"/>
          </w:tcPr>
          <w:p w14:paraId="3D9F17F2"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Y21</w:t>
            </w:r>
          </w:p>
        </w:tc>
        <w:tc>
          <w:tcPr>
            <w:tcW w:w="951" w:type="dxa"/>
            <w:shd w:val="clear" w:color="auto" w:fill="auto"/>
            <w:vAlign w:val="center"/>
          </w:tcPr>
          <w:p w14:paraId="1B66650D"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Y22</w:t>
            </w:r>
          </w:p>
        </w:tc>
        <w:tc>
          <w:tcPr>
            <w:tcW w:w="952" w:type="dxa"/>
            <w:shd w:val="clear" w:color="auto" w:fill="auto"/>
            <w:vAlign w:val="center"/>
          </w:tcPr>
          <w:p w14:paraId="423F57CC"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Y23</w:t>
            </w:r>
          </w:p>
        </w:tc>
        <w:tc>
          <w:tcPr>
            <w:tcW w:w="951" w:type="dxa"/>
            <w:shd w:val="clear" w:color="auto" w:fill="auto"/>
            <w:vAlign w:val="center"/>
          </w:tcPr>
          <w:p w14:paraId="1318102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Y24</w:t>
            </w:r>
          </w:p>
        </w:tc>
        <w:tc>
          <w:tcPr>
            <w:tcW w:w="952" w:type="dxa"/>
            <w:shd w:val="clear" w:color="auto" w:fill="auto"/>
            <w:vAlign w:val="center"/>
          </w:tcPr>
          <w:p w14:paraId="1D30FA0B" w14:textId="77777777" w:rsidR="00C90AAE" w:rsidRPr="006D2651" w:rsidRDefault="00C90AAE" w:rsidP="00A10F1B">
            <w:pPr>
              <w:spacing w:after="0"/>
              <w:jc w:val="center"/>
              <w:rPr>
                <w:rFonts w:ascii="Times New Roman" w:eastAsia="Times New Roman" w:hAnsi="Times New Roman"/>
                <w:b/>
                <w:sz w:val="20"/>
                <w:szCs w:val="20"/>
              </w:rPr>
            </w:pPr>
            <w:r w:rsidRPr="006D2651">
              <w:rPr>
                <w:rFonts w:ascii="Times New Roman" w:eastAsia="Times New Roman" w:hAnsi="Times New Roman"/>
                <w:b/>
                <w:sz w:val="20"/>
                <w:szCs w:val="20"/>
              </w:rPr>
              <w:t>Y25</w:t>
            </w:r>
          </w:p>
        </w:tc>
      </w:tr>
      <w:tr w:rsidR="00C90AAE" w:rsidRPr="006D2651" w14:paraId="354BE7B4" w14:textId="77777777" w:rsidTr="00A10F1B">
        <w:trPr>
          <w:trHeight w:val="327"/>
        </w:trPr>
        <w:tc>
          <w:tcPr>
            <w:tcW w:w="1861" w:type="dxa"/>
            <w:shd w:val="clear" w:color="auto" w:fill="auto"/>
            <w:noWrap/>
            <w:vAlign w:val="center"/>
            <w:hideMark/>
          </w:tcPr>
          <w:p w14:paraId="2F06BF4A"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Calculated Tariff (</w:t>
            </w:r>
            <w:r w:rsidRPr="006D2651">
              <w:rPr>
                <w:rFonts w:ascii="Times New Roman" w:eastAsia="Times New Roman" w:hAnsi="Times New Roman"/>
                <w:sz w:val="20"/>
                <w:szCs w:val="20"/>
              </w:rPr>
              <w:t>₹</w:t>
            </w:r>
            <w:r w:rsidRPr="006D2651">
              <w:rPr>
                <w:rFonts w:ascii="Times New Roman" w:eastAsia="Times New Roman" w:hAnsi="Times New Roman"/>
                <w:color w:val="000000"/>
                <w:sz w:val="20"/>
                <w:szCs w:val="20"/>
              </w:rPr>
              <w:t>/MT/km)</w:t>
            </w:r>
          </w:p>
        </w:tc>
        <w:tc>
          <w:tcPr>
            <w:tcW w:w="1022" w:type="dxa"/>
            <w:shd w:val="clear" w:color="auto" w:fill="auto"/>
            <w:vAlign w:val="center"/>
          </w:tcPr>
          <w:p w14:paraId="30E53A8C"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2" w:type="dxa"/>
            <w:shd w:val="clear" w:color="auto" w:fill="auto"/>
            <w:vAlign w:val="center"/>
          </w:tcPr>
          <w:p w14:paraId="6503DD55"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1" w:type="dxa"/>
            <w:shd w:val="clear" w:color="auto" w:fill="auto"/>
            <w:vAlign w:val="center"/>
          </w:tcPr>
          <w:p w14:paraId="604EE2DD"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2" w:type="dxa"/>
            <w:shd w:val="clear" w:color="auto" w:fill="auto"/>
            <w:vAlign w:val="center"/>
          </w:tcPr>
          <w:p w14:paraId="4D622215"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1" w:type="dxa"/>
            <w:shd w:val="clear" w:color="auto" w:fill="auto"/>
            <w:vAlign w:val="center"/>
          </w:tcPr>
          <w:p w14:paraId="48C26BC0"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2" w:type="dxa"/>
            <w:shd w:val="clear" w:color="auto" w:fill="auto"/>
            <w:vAlign w:val="center"/>
          </w:tcPr>
          <w:p w14:paraId="65AC82B5"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1" w:type="dxa"/>
            <w:shd w:val="clear" w:color="auto" w:fill="auto"/>
            <w:vAlign w:val="center"/>
          </w:tcPr>
          <w:p w14:paraId="261F516B"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c>
          <w:tcPr>
            <w:tcW w:w="952" w:type="dxa"/>
            <w:shd w:val="clear" w:color="auto" w:fill="auto"/>
            <w:vAlign w:val="center"/>
          </w:tcPr>
          <w:p w14:paraId="1A832C6C" w14:textId="77777777" w:rsidR="00C90AAE" w:rsidRPr="006D2651" w:rsidRDefault="00C90AAE" w:rsidP="00A10F1B">
            <w:pPr>
              <w:spacing w:after="0"/>
              <w:jc w:val="center"/>
              <w:rPr>
                <w:rFonts w:ascii="Times New Roman" w:hAnsi="Times New Roman"/>
                <w:b/>
                <w:color w:val="000000"/>
                <w:sz w:val="20"/>
                <w:szCs w:val="20"/>
              </w:rPr>
            </w:pPr>
            <w:r w:rsidRPr="006D2651">
              <w:rPr>
                <w:rFonts w:ascii="Times New Roman" w:hAnsi="Times New Roman"/>
                <w:color w:val="000000"/>
                <w:sz w:val="20"/>
                <w:szCs w:val="20"/>
              </w:rPr>
              <w:t xml:space="preserve">1.69 </w:t>
            </w:r>
          </w:p>
        </w:tc>
      </w:tr>
      <w:tr w:rsidR="00C90AAE" w:rsidRPr="006D2651" w14:paraId="64DCD850" w14:textId="77777777" w:rsidTr="00A10F1B">
        <w:trPr>
          <w:trHeight w:val="327"/>
        </w:trPr>
        <w:tc>
          <w:tcPr>
            <w:tcW w:w="1861" w:type="dxa"/>
            <w:shd w:val="clear" w:color="auto" w:fill="auto"/>
            <w:noWrap/>
            <w:vAlign w:val="center"/>
            <w:hideMark/>
          </w:tcPr>
          <w:p w14:paraId="3C04AE45" w14:textId="77777777" w:rsidR="00C90AAE" w:rsidRPr="006D2651" w:rsidRDefault="00C90AAE" w:rsidP="00A10F1B">
            <w:pPr>
              <w:spacing w:after="0"/>
              <w:rPr>
                <w:rFonts w:ascii="Times New Roman" w:eastAsia="Times New Roman" w:hAnsi="Times New Roman"/>
                <w:b/>
                <w:color w:val="000000"/>
                <w:sz w:val="20"/>
                <w:szCs w:val="20"/>
              </w:rPr>
            </w:pPr>
            <w:r w:rsidRPr="006D2651">
              <w:rPr>
                <w:rFonts w:ascii="Times New Roman" w:eastAsia="Times New Roman" w:hAnsi="Times New Roman"/>
                <w:b/>
                <w:color w:val="000000"/>
                <w:sz w:val="20"/>
                <w:szCs w:val="20"/>
              </w:rPr>
              <w:t>Cash Inflow</w:t>
            </w:r>
          </w:p>
        </w:tc>
        <w:tc>
          <w:tcPr>
            <w:tcW w:w="1022" w:type="dxa"/>
            <w:shd w:val="clear" w:color="auto" w:fill="auto"/>
            <w:vAlign w:val="center"/>
          </w:tcPr>
          <w:p w14:paraId="1A9E6AA8"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4A6E5D7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07054F9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71CA2844"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7377BA8D"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533CAB2F"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597FFC92"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1E09465B"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5709BBA6" w14:textId="77777777" w:rsidTr="00A10F1B">
        <w:trPr>
          <w:trHeight w:val="327"/>
        </w:trPr>
        <w:tc>
          <w:tcPr>
            <w:tcW w:w="1861" w:type="dxa"/>
            <w:shd w:val="clear" w:color="auto" w:fill="auto"/>
            <w:noWrap/>
            <w:vAlign w:val="center"/>
            <w:hideMark/>
          </w:tcPr>
          <w:p w14:paraId="07636B4E"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Revenues </w:t>
            </w:r>
            <w:r w:rsidRPr="006D2651">
              <w:rPr>
                <w:rFonts w:ascii="Times New Roman" w:eastAsia="Times New Roman" w:hAnsi="Times New Roman"/>
                <w:sz w:val="20"/>
                <w:szCs w:val="20"/>
              </w:rPr>
              <w:t>(₹/ crore)</w:t>
            </w:r>
          </w:p>
        </w:tc>
        <w:tc>
          <w:tcPr>
            <w:tcW w:w="1022" w:type="dxa"/>
            <w:shd w:val="clear" w:color="auto" w:fill="auto"/>
            <w:vAlign w:val="center"/>
          </w:tcPr>
          <w:p w14:paraId="0C18349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2" w:type="dxa"/>
            <w:shd w:val="clear" w:color="auto" w:fill="auto"/>
            <w:vAlign w:val="center"/>
          </w:tcPr>
          <w:p w14:paraId="17A5CFCF"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1" w:type="dxa"/>
            <w:shd w:val="clear" w:color="auto" w:fill="auto"/>
            <w:vAlign w:val="center"/>
          </w:tcPr>
          <w:p w14:paraId="4F21FAF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2" w:type="dxa"/>
            <w:shd w:val="clear" w:color="auto" w:fill="auto"/>
            <w:vAlign w:val="center"/>
          </w:tcPr>
          <w:p w14:paraId="65A5832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1" w:type="dxa"/>
            <w:shd w:val="clear" w:color="auto" w:fill="auto"/>
            <w:vAlign w:val="center"/>
          </w:tcPr>
          <w:p w14:paraId="19A4B26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2" w:type="dxa"/>
            <w:shd w:val="clear" w:color="auto" w:fill="auto"/>
            <w:vAlign w:val="center"/>
          </w:tcPr>
          <w:p w14:paraId="5E5CE758"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1" w:type="dxa"/>
            <w:shd w:val="clear" w:color="auto" w:fill="auto"/>
            <w:vAlign w:val="center"/>
          </w:tcPr>
          <w:p w14:paraId="2D23F13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c>
          <w:tcPr>
            <w:tcW w:w="952" w:type="dxa"/>
            <w:shd w:val="clear" w:color="auto" w:fill="auto"/>
            <w:vAlign w:val="center"/>
          </w:tcPr>
          <w:p w14:paraId="56E9811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976.75 </w:t>
            </w:r>
          </w:p>
        </w:tc>
      </w:tr>
      <w:tr w:rsidR="00C90AAE" w:rsidRPr="006D2651" w14:paraId="51C65A16" w14:textId="77777777" w:rsidTr="00A10F1B">
        <w:trPr>
          <w:trHeight w:val="327"/>
        </w:trPr>
        <w:tc>
          <w:tcPr>
            <w:tcW w:w="1861" w:type="dxa"/>
            <w:shd w:val="clear" w:color="auto" w:fill="auto"/>
            <w:noWrap/>
            <w:vAlign w:val="center"/>
            <w:hideMark/>
          </w:tcPr>
          <w:p w14:paraId="2B70B1E9" w14:textId="77777777" w:rsidR="00C90AAE" w:rsidRPr="006D2651" w:rsidRDefault="00C90AAE" w:rsidP="00A10F1B">
            <w:pPr>
              <w:spacing w:after="0"/>
              <w:rPr>
                <w:rFonts w:ascii="Times New Roman" w:eastAsia="Times New Roman" w:hAnsi="Times New Roman"/>
                <w:b/>
                <w:color w:val="000000"/>
                <w:sz w:val="20"/>
                <w:szCs w:val="20"/>
              </w:rPr>
            </w:pPr>
            <w:r w:rsidRPr="006D2651">
              <w:rPr>
                <w:rFonts w:ascii="Times New Roman" w:eastAsia="Times New Roman" w:hAnsi="Times New Roman"/>
                <w:b/>
                <w:color w:val="000000"/>
                <w:sz w:val="20"/>
                <w:szCs w:val="20"/>
              </w:rPr>
              <w:t>Cash Outflow</w:t>
            </w:r>
          </w:p>
        </w:tc>
        <w:tc>
          <w:tcPr>
            <w:tcW w:w="1022" w:type="dxa"/>
            <w:shd w:val="clear" w:color="auto" w:fill="auto"/>
            <w:vAlign w:val="center"/>
          </w:tcPr>
          <w:p w14:paraId="1D6612FC"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6FF3112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5AE5190C"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21FEB728"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43C52C2F"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7E3CD8D1"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1" w:type="dxa"/>
            <w:shd w:val="clear" w:color="auto" w:fill="auto"/>
            <w:vAlign w:val="center"/>
          </w:tcPr>
          <w:p w14:paraId="7F56D0A5" w14:textId="77777777" w:rsidR="00C90AAE" w:rsidRPr="006D2651" w:rsidRDefault="00C90AAE" w:rsidP="00A10F1B">
            <w:pPr>
              <w:spacing w:after="0"/>
              <w:jc w:val="center"/>
              <w:rPr>
                <w:rFonts w:ascii="Times New Roman" w:eastAsia="Times New Roman" w:hAnsi="Times New Roman"/>
                <w:color w:val="000000"/>
                <w:sz w:val="20"/>
                <w:szCs w:val="20"/>
              </w:rPr>
            </w:pPr>
          </w:p>
        </w:tc>
        <w:tc>
          <w:tcPr>
            <w:tcW w:w="952" w:type="dxa"/>
            <w:shd w:val="clear" w:color="auto" w:fill="auto"/>
            <w:vAlign w:val="center"/>
          </w:tcPr>
          <w:p w14:paraId="408F3A8F" w14:textId="77777777" w:rsidR="00C90AAE" w:rsidRPr="006D2651" w:rsidRDefault="00C90AAE" w:rsidP="00A10F1B">
            <w:pPr>
              <w:spacing w:after="0"/>
              <w:jc w:val="center"/>
              <w:rPr>
                <w:rFonts w:ascii="Times New Roman" w:eastAsia="Times New Roman" w:hAnsi="Times New Roman"/>
                <w:color w:val="000000"/>
                <w:sz w:val="20"/>
                <w:szCs w:val="20"/>
              </w:rPr>
            </w:pPr>
          </w:p>
        </w:tc>
      </w:tr>
      <w:tr w:rsidR="00C90AAE" w:rsidRPr="006D2651" w14:paraId="495C839E" w14:textId="77777777" w:rsidTr="00A10F1B">
        <w:trPr>
          <w:trHeight w:val="327"/>
        </w:trPr>
        <w:tc>
          <w:tcPr>
            <w:tcW w:w="1861" w:type="dxa"/>
            <w:shd w:val="clear" w:color="auto" w:fill="auto"/>
            <w:noWrap/>
            <w:vAlign w:val="center"/>
            <w:hideMark/>
          </w:tcPr>
          <w:p w14:paraId="417AEB8A"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Capex </w:t>
            </w:r>
            <w:r w:rsidRPr="006D2651">
              <w:rPr>
                <w:rFonts w:ascii="Times New Roman" w:eastAsia="Times New Roman" w:hAnsi="Times New Roman"/>
                <w:sz w:val="20"/>
                <w:szCs w:val="20"/>
              </w:rPr>
              <w:t>(₹/ crore)</w:t>
            </w:r>
          </w:p>
        </w:tc>
        <w:tc>
          <w:tcPr>
            <w:tcW w:w="1022" w:type="dxa"/>
            <w:shd w:val="clear" w:color="auto" w:fill="auto"/>
            <w:vAlign w:val="center"/>
          </w:tcPr>
          <w:p w14:paraId="23AAD60A"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2" w:type="dxa"/>
            <w:shd w:val="clear" w:color="auto" w:fill="auto"/>
            <w:vAlign w:val="center"/>
          </w:tcPr>
          <w:p w14:paraId="6BE20D5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1" w:type="dxa"/>
            <w:shd w:val="clear" w:color="auto" w:fill="auto"/>
            <w:vAlign w:val="center"/>
          </w:tcPr>
          <w:p w14:paraId="5A27401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2" w:type="dxa"/>
            <w:shd w:val="clear" w:color="auto" w:fill="auto"/>
            <w:vAlign w:val="center"/>
          </w:tcPr>
          <w:p w14:paraId="2ED278B7"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1" w:type="dxa"/>
            <w:shd w:val="clear" w:color="auto" w:fill="auto"/>
            <w:vAlign w:val="center"/>
          </w:tcPr>
          <w:p w14:paraId="5B6DCD76"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2" w:type="dxa"/>
            <w:shd w:val="clear" w:color="auto" w:fill="auto"/>
            <w:vAlign w:val="center"/>
          </w:tcPr>
          <w:p w14:paraId="1E6FFE9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1" w:type="dxa"/>
            <w:shd w:val="clear" w:color="auto" w:fill="auto"/>
            <w:vAlign w:val="center"/>
          </w:tcPr>
          <w:p w14:paraId="498593D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c>
          <w:tcPr>
            <w:tcW w:w="952" w:type="dxa"/>
            <w:shd w:val="clear" w:color="auto" w:fill="auto"/>
            <w:vAlign w:val="center"/>
          </w:tcPr>
          <w:p w14:paraId="24862595"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   </w:t>
            </w:r>
          </w:p>
        </w:tc>
      </w:tr>
      <w:tr w:rsidR="00C90AAE" w:rsidRPr="006D2651" w14:paraId="2C30D6AF" w14:textId="77777777" w:rsidTr="00A10F1B">
        <w:trPr>
          <w:trHeight w:val="327"/>
        </w:trPr>
        <w:tc>
          <w:tcPr>
            <w:tcW w:w="1861" w:type="dxa"/>
            <w:shd w:val="clear" w:color="auto" w:fill="auto"/>
            <w:noWrap/>
            <w:vAlign w:val="center"/>
            <w:hideMark/>
          </w:tcPr>
          <w:p w14:paraId="7D3230F7" w14:textId="77777777" w:rsidR="00C90AAE" w:rsidRPr="006D2651" w:rsidRDefault="00C90AAE" w:rsidP="00A10F1B">
            <w:pPr>
              <w:spacing w:after="0"/>
              <w:rPr>
                <w:rFonts w:ascii="Times New Roman" w:eastAsia="Times New Roman" w:hAnsi="Times New Roman"/>
                <w:color w:val="000000"/>
                <w:sz w:val="20"/>
                <w:szCs w:val="20"/>
              </w:rPr>
            </w:pPr>
            <w:proofErr w:type="spellStart"/>
            <w:r w:rsidRPr="006D2651">
              <w:rPr>
                <w:rFonts w:ascii="Times New Roman" w:eastAsia="Times New Roman" w:hAnsi="Times New Roman"/>
                <w:color w:val="000000"/>
                <w:sz w:val="20"/>
                <w:szCs w:val="20"/>
              </w:rPr>
              <w:t>Opex</w:t>
            </w:r>
            <w:proofErr w:type="spellEnd"/>
            <w:r w:rsidRPr="006D2651">
              <w:rPr>
                <w:rFonts w:ascii="Times New Roman" w:eastAsia="Times New Roman" w:hAnsi="Times New Roman"/>
                <w:color w:val="000000"/>
                <w:sz w:val="20"/>
                <w:szCs w:val="20"/>
              </w:rPr>
              <w:t xml:space="preserve"> </w:t>
            </w:r>
            <w:r w:rsidRPr="006D2651">
              <w:rPr>
                <w:rFonts w:ascii="Times New Roman" w:eastAsia="Times New Roman" w:hAnsi="Times New Roman"/>
                <w:sz w:val="20"/>
                <w:szCs w:val="20"/>
              </w:rPr>
              <w:t>(₹/ crore)</w:t>
            </w:r>
          </w:p>
        </w:tc>
        <w:tc>
          <w:tcPr>
            <w:tcW w:w="1022" w:type="dxa"/>
            <w:shd w:val="clear" w:color="auto" w:fill="auto"/>
            <w:vAlign w:val="center"/>
          </w:tcPr>
          <w:p w14:paraId="098D7B8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890.88 </w:t>
            </w:r>
          </w:p>
        </w:tc>
        <w:tc>
          <w:tcPr>
            <w:tcW w:w="952" w:type="dxa"/>
            <w:shd w:val="clear" w:color="auto" w:fill="auto"/>
            <w:vAlign w:val="center"/>
          </w:tcPr>
          <w:p w14:paraId="13C7BC7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917.61 </w:t>
            </w:r>
          </w:p>
        </w:tc>
        <w:tc>
          <w:tcPr>
            <w:tcW w:w="951" w:type="dxa"/>
            <w:shd w:val="clear" w:color="auto" w:fill="auto"/>
            <w:vAlign w:val="center"/>
          </w:tcPr>
          <w:p w14:paraId="7094CD7B"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945.14 </w:t>
            </w:r>
          </w:p>
        </w:tc>
        <w:tc>
          <w:tcPr>
            <w:tcW w:w="952" w:type="dxa"/>
            <w:shd w:val="clear" w:color="auto" w:fill="auto"/>
            <w:vAlign w:val="center"/>
          </w:tcPr>
          <w:p w14:paraId="179BDBC0"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973.49 </w:t>
            </w:r>
          </w:p>
        </w:tc>
        <w:tc>
          <w:tcPr>
            <w:tcW w:w="951" w:type="dxa"/>
            <w:shd w:val="clear" w:color="auto" w:fill="auto"/>
            <w:vAlign w:val="center"/>
          </w:tcPr>
          <w:p w14:paraId="514A1629"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1,002.70 </w:t>
            </w:r>
          </w:p>
        </w:tc>
        <w:tc>
          <w:tcPr>
            <w:tcW w:w="952" w:type="dxa"/>
            <w:shd w:val="clear" w:color="auto" w:fill="auto"/>
            <w:vAlign w:val="center"/>
          </w:tcPr>
          <w:p w14:paraId="224112B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1,032.78 </w:t>
            </w:r>
          </w:p>
        </w:tc>
        <w:tc>
          <w:tcPr>
            <w:tcW w:w="951" w:type="dxa"/>
            <w:shd w:val="clear" w:color="auto" w:fill="auto"/>
            <w:vAlign w:val="center"/>
          </w:tcPr>
          <w:p w14:paraId="3576C41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1,063.76 </w:t>
            </w:r>
          </w:p>
        </w:tc>
        <w:tc>
          <w:tcPr>
            <w:tcW w:w="952" w:type="dxa"/>
            <w:shd w:val="clear" w:color="auto" w:fill="auto"/>
            <w:vAlign w:val="center"/>
          </w:tcPr>
          <w:p w14:paraId="284CFA73"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1,095.68 </w:t>
            </w:r>
          </w:p>
        </w:tc>
      </w:tr>
      <w:tr w:rsidR="00C90AAE" w:rsidRPr="006D2651" w14:paraId="4508B141" w14:textId="77777777" w:rsidTr="00A10F1B">
        <w:trPr>
          <w:trHeight w:val="327"/>
        </w:trPr>
        <w:tc>
          <w:tcPr>
            <w:tcW w:w="1861" w:type="dxa"/>
            <w:shd w:val="clear" w:color="auto" w:fill="auto"/>
            <w:noWrap/>
            <w:vAlign w:val="center"/>
            <w:hideMark/>
          </w:tcPr>
          <w:p w14:paraId="68A8C74C" w14:textId="77777777" w:rsidR="00C90AAE" w:rsidRPr="006D2651" w:rsidRDefault="00C90AAE" w:rsidP="00A10F1B">
            <w:pPr>
              <w:spacing w:after="0"/>
              <w:rPr>
                <w:rFonts w:ascii="Times New Roman" w:eastAsia="Times New Roman" w:hAnsi="Times New Roman"/>
                <w:color w:val="000000"/>
                <w:sz w:val="20"/>
                <w:szCs w:val="20"/>
              </w:rPr>
            </w:pPr>
            <w:r w:rsidRPr="006D2651">
              <w:rPr>
                <w:rFonts w:ascii="Times New Roman" w:eastAsia="Times New Roman" w:hAnsi="Times New Roman"/>
                <w:color w:val="000000"/>
                <w:sz w:val="20"/>
                <w:szCs w:val="20"/>
              </w:rPr>
              <w:t xml:space="preserve">Net cashflow Pre-Tax for project IRR </w:t>
            </w:r>
            <w:r w:rsidRPr="006D2651">
              <w:rPr>
                <w:rFonts w:ascii="Times New Roman" w:eastAsia="Times New Roman" w:hAnsi="Times New Roman"/>
                <w:sz w:val="20"/>
                <w:szCs w:val="20"/>
              </w:rPr>
              <w:t>(₹/ crore)</w:t>
            </w:r>
          </w:p>
        </w:tc>
        <w:tc>
          <w:tcPr>
            <w:tcW w:w="1022" w:type="dxa"/>
            <w:shd w:val="clear" w:color="auto" w:fill="auto"/>
            <w:vAlign w:val="center"/>
          </w:tcPr>
          <w:p w14:paraId="2DF292A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85.87 </w:t>
            </w:r>
          </w:p>
        </w:tc>
        <w:tc>
          <w:tcPr>
            <w:tcW w:w="952" w:type="dxa"/>
            <w:shd w:val="clear" w:color="auto" w:fill="auto"/>
            <w:vAlign w:val="center"/>
          </w:tcPr>
          <w:p w14:paraId="4DF063D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59.14 </w:t>
            </w:r>
          </w:p>
        </w:tc>
        <w:tc>
          <w:tcPr>
            <w:tcW w:w="951" w:type="dxa"/>
            <w:shd w:val="clear" w:color="auto" w:fill="auto"/>
            <w:vAlign w:val="center"/>
          </w:tcPr>
          <w:p w14:paraId="1A33D74D"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31.61 </w:t>
            </w:r>
          </w:p>
        </w:tc>
        <w:tc>
          <w:tcPr>
            <w:tcW w:w="952" w:type="dxa"/>
            <w:shd w:val="clear" w:color="auto" w:fill="auto"/>
            <w:vAlign w:val="center"/>
          </w:tcPr>
          <w:p w14:paraId="51D7596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3.26 </w:t>
            </w:r>
          </w:p>
        </w:tc>
        <w:tc>
          <w:tcPr>
            <w:tcW w:w="951" w:type="dxa"/>
            <w:shd w:val="clear" w:color="auto" w:fill="auto"/>
            <w:vAlign w:val="center"/>
          </w:tcPr>
          <w:p w14:paraId="4D8E63C4"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(25.95)</w:t>
            </w:r>
          </w:p>
        </w:tc>
        <w:tc>
          <w:tcPr>
            <w:tcW w:w="952" w:type="dxa"/>
            <w:shd w:val="clear" w:color="auto" w:fill="auto"/>
            <w:vAlign w:val="center"/>
          </w:tcPr>
          <w:p w14:paraId="6A9646BE"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(56.03)</w:t>
            </w:r>
          </w:p>
        </w:tc>
        <w:tc>
          <w:tcPr>
            <w:tcW w:w="951" w:type="dxa"/>
            <w:shd w:val="clear" w:color="auto" w:fill="auto"/>
            <w:vAlign w:val="center"/>
          </w:tcPr>
          <w:p w14:paraId="2224E07C"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(87.01)</w:t>
            </w:r>
          </w:p>
        </w:tc>
        <w:tc>
          <w:tcPr>
            <w:tcW w:w="952" w:type="dxa"/>
            <w:shd w:val="clear" w:color="auto" w:fill="auto"/>
            <w:vAlign w:val="center"/>
          </w:tcPr>
          <w:p w14:paraId="7BC4B961" w14:textId="77777777" w:rsidR="00C90AAE" w:rsidRPr="006D2651" w:rsidRDefault="00C90AAE" w:rsidP="00A10F1B">
            <w:pPr>
              <w:spacing w:after="0"/>
              <w:jc w:val="center"/>
              <w:rPr>
                <w:rFonts w:ascii="Times New Roman" w:hAnsi="Times New Roman"/>
                <w:color w:val="000000"/>
                <w:sz w:val="20"/>
                <w:szCs w:val="20"/>
              </w:rPr>
            </w:pPr>
            <w:r w:rsidRPr="006D2651">
              <w:rPr>
                <w:rFonts w:ascii="Times New Roman" w:hAnsi="Times New Roman"/>
                <w:color w:val="000000"/>
                <w:sz w:val="20"/>
                <w:szCs w:val="20"/>
              </w:rPr>
              <w:t xml:space="preserve">158.58 </w:t>
            </w:r>
          </w:p>
        </w:tc>
      </w:tr>
    </w:tbl>
    <w:p w14:paraId="7984DD8E" w14:textId="1BDACBF0" w:rsidR="00574ED7" w:rsidRDefault="00574ED7" w:rsidP="00C90AAE">
      <w:pPr>
        <w:pStyle w:val="NormalWeb"/>
        <w:spacing w:before="0" w:beforeAutospacing="0" w:after="0" w:afterAutospacing="0" w:line="276" w:lineRule="auto"/>
        <w:jc w:val="center"/>
        <w:rPr>
          <w:rStyle w:val="Strong"/>
          <w:sz w:val="20"/>
          <w:szCs w:val="20"/>
        </w:rPr>
      </w:pPr>
    </w:p>
    <w:p w14:paraId="1313C998" w14:textId="07C87E3B" w:rsidR="00B03F2F" w:rsidRPr="00C71CCD" w:rsidRDefault="00B03F2F" w:rsidP="00BE5653">
      <w:pPr>
        <w:tabs>
          <w:tab w:val="left" w:pos="7140"/>
        </w:tabs>
        <w:jc w:val="center"/>
      </w:pPr>
      <w:r>
        <w:t xml:space="preserve">                                                                                                                                         </w:t>
      </w:r>
    </w:p>
    <w:p w14:paraId="142FC2EF" w14:textId="0F4662DA" w:rsidR="00A262AD" w:rsidRDefault="00A262AD" w:rsidP="00C71CCD">
      <w:pPr>
        <w:jc w:val="right"/>
      </w:pPr>
      <w:r w:rsidRPr="00807BD3">
        <w:rPr>
          <w:rFonts w:ascii="Times New Roman" w:hAnsi="Times New Roman"/>
          <w:b/>
          <w:bCs/>
          <w:sz w:val="20"/>
          <w:szCs w:val="20"/>
        </w:rPr>
        <w:t>VANDANA SHARMA,</w:t>
      </w:r>
      <w:r>
        <w:rPr>
          <w:rFonts w:ascii="Times New Roman" w:hAnsi="Times New Roman"/>
          <w:b/>
          <w:bCs/>
          <w:sz w:val="20"/>
          <w:szCs w:val="20"/>
        </w:rPr>
        <w:t xml:space="preserve"> Secy.</w:t>
      </w:r>
    </w:p>
    <w:p w14:paraId="0B8109C2" w14:textId="77777777" w:rsidR="00C71CCD" w:rsidRPr="00B03F2F" w:rsidRDefault="00C71CCD" w:rsidP="00C71CCD">
      <w:pPr>
        <w:pStyle w:val="ListParagraph"/>
        <w:spacing w:after="0" w:line="240" w:lineRule="auto"/>
        <w:ind w:left="1080"/>
        <w:rPr>
          <w:rFonts w:ascii="Times New Roman" w:hAnsi="Times New Roman"/>
          <w:sz w:val="2"/>
          <w:szCs w:val="2"/>
        </w:rPr>
      </w:pPr>
    </w:p>
    <w:p w14:paraId="2BEBF498" w14:textId="62ABF191" w:rsidR="00C90AAE" w:rsidRPr="00574ED7" w:rsidRDefault="00C71CCD" w:rsidP="00BE5653">
      <w:pPr>
        <w:pStyle w:val="FootnoteText"/>
        <w:jc w:val="both"/>
        <w:sectPr w:rsidR="00C90AAE" w:rsidRPr="00574ED7" w:rsidSect="0099442F">
          <w:footerReference w:type="default" r:id="rId11"/>
          <w:pgSz w:w="12240" w:h="15840"/>
          <w:pgMar w:top="142" w:right="1440" w:bottom="709" w:left="1440" w:header="720" w:footer="720" w:gutter="0"/>
          <w:cols w:space="720"/>
          <w:docGrid w:linePitch="360"/>
        </w:sectPr>
      </w:pPr>
      <w:r w:rsidRPr="00BE5653">
        <w:rPr>
          <w:rFonts w:ascii="Times New Roman" w:hAnsi="Times New Roman"/>
          <w:b/>
          <w:sz w:val="22"/>
          <w:szCs w:val="22"/>
        </w:rPr>
        <w:t>Foot Note:</w:t>
      </w:r>
      <w:r w:rsidRPr="00BE5653">
        <w:rPr>
          <w:rFonts w:ascii="Times New Roman" w:hAnsi="Times New Roman"/>
          <w:sz w:val="22"/>
          <w:szCs w:val="22"/>
        </w:rPr>
        <w:t xml:space="preserve">  </w:t>
      </w:r>
      <w:r w:rsidR="00BE5653" w:rsidRPr="00CA150B">
        <w:rPr>
          <w:rFonts w:ascii="Times New Roman" w:hAnsi="Times New Roman"/>
          <w:lang w:val="en-IN"/>
        </w:rPr>
        <w:t xml:space="preserve">Notified vide Gazette Notification dated </w:t>
      </w:r>
      <w:r w:rsidR="004307A3">
        <w:rPr>
          <w:rFonts w:ascii="Times New Roman" w:hAnsi="Times New Roman"/>
          <w:lang w:val="en-IN"/>
        </w:rPr>
        <w:t>22</w:t>
      </w:r>
      <w:r w:rsidR="004307A3" w:rsidRPr="004307A3">
        <w:rPr>
          <w:rFonts w:ascii="Times New Roman" w:hAnsi="Times New Roman"/>
          <w:vertAlign w:val="superscript"/>
          <w:lang w:val="en-IN"/>
        </w:rPr>
        <w:t>nd</w:t>
      </w:r>
      <w:r w:rsidR="004307A3">
        <w:rPr>
          <w:rFonts w:ascii="Times New Roman" w:hAnsi="Times New Roman"/>
          <w:lang w:val="en-IN"/>
        </w:rPr>
        <w:t xml:space="preserve"> </w:t>
      </w:r>
      <w:bookmarkStart w:id="3" w:name="_GoBack"/>
      <w:bookmarkEnd w:id="3"/>
      <w:r w:rsidR="00BE5653">
        <w:rPr>
          <w:rFonts w:ascii="Times New Roman" w:hAnsi="Times New Roman"/>
          <w:lang w:val="en-IN"/>
        </w:rPr>
        <w:t>July</w:t>
      </w:r>
      <w:r w:rsidR="00F9463A">
        <w:rPr>
          <w:rFonts w:ascii="Times New Roman" w:hAnsi="Times New Roman"/>
          <w:lang w:val="en-IN"/>
        </w:rPr>
        <w:t>2024</w:t>
      </w:r>
      <w:r w:rsidR="00BE5653">
        <w:rPr>
          <w:rFonts w:ascii="Times New Roman" w:hAnsi="Times New Roman"/>
          <w:lang w:val="en-IN"/>
        </w:rPr>
        <w:t xml:space="preserve"> (</w:t>
      </w:r>
      <w:r w:rsidR="00BE5653" w:rsidRPr="00BE5653">
        <w:rPr>
          <w:rFonts w:ascii="Times New Roman" w:hAnsi="Times New Roman"/>
          <w:lang w:val="en-IN"/>
        </w:rPr>
        <w:t>F. No. PNGRB/COM/11-</w:t>
      </w:r>
      <w:proofErr w:type="gramStart"/>
      <w:r w:rsidR="00BE5653" w:rsidRPr="00BE5653">
        <w:rPr>
          <w:rFonts w:ascii="Times New Roman" w:hAnsi="Times New Roman"/>
          <w:lang w:val="en-IN"/>
        </w:rPr>
        <w:t>PPPL(</w:t>
      </w:r>
      <w:proofErr w:type="gramEnd"/>
      <w:r w:rsidR="00BE5653" w:rsidRPr="00BE5653">
        <w:rPr>
          <w:rFonts w:ascii="Times New Roman" w:hAnsi="Times New Roman"/>
          <w:lang w:val="en-IN"/>
        </w:rPr>
        <w:t>1)/2024 (E- 5022)</w:t>
      </w:r>
      <w:r w:rsidR="00574ED7" w:rsidRPr="00BE5653">
        <w:rPr>
          <w:rFonts w:ascii="Times New Roman" w:hAnsi="Times New Roman"/>
          <w:lang w:val="en-IN"/>
        </w:rPr>
        <w:tab/>
      </w:r>
    </w:p>
    <w:p w14:paraId="3708A725" w14:textId="77777777" w:rsidR="00CE747F" w:rsidRPr="006D2651" w:rsidRDefault="00CE747F" w:rsidP="00C34994">
      <w:pPr>
        <w:pStyle w:val="ListParagraph"/>
        <w:ind w:left="357"/>
        <w:contextualSpacing w:val="0"/>
        <w:jc w:val="both"/>
        <w:rPr>
          <w:rFonts w:ascii="Times New Roman" w:hAnsi="Times New Roman"/>
          <w:sz w:val="20"/>
          <w:szCs w:val="20"/>
        </w:rPr>
      </w:pPr>
    </w:p>
    <w:sectPr w:rsidR="00CE747F" w:rsidRPr="006D2651" w:rsidSect="005A2E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FC537" w14:textId="77777777" w:rsidR="00297BE2" w:rsidRDefault="00297BE2" w:rsidP="00733C4F">
      <w:pPr>
        <w:spacing w:after="0" w:line="240" w:lineRule="auto"/>
      </w:pPr>
      <w:r>
        <w:separator/>
      </w:r>
    </w:p>
  </w:endnote>
  <w:endnote w:type="continuationSeparator" w:id="0">
    <w:p w14:paraId="0F70DCD4" w14:textId="77777777" w:rsidR="00297BE2" w:rsidRDefault="00297BE2" w:rsidP="00733C4F">
      <w:pPr>
        <w:spacing w:after="0" w:line="240" w:lineRule="auto"/>
      </w:pPr>
      <w:r>
        <w:continuationSeparator/>
      </w:r>
    </w:p>
  </w:endnote>
  <w:endnote w:type="continuationNotice" w:id="1">
    <w:p w14:paraId="2A3146AC" w14:textId="77777777" w:rsidR="00297BE2" w:rsidRDefault="00297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331057"/>
      <w:docPartObj>
        <w:docPartGallery w:val="Page Numbers (Bottom of Page)"/>
        <w:docPartUnique/>
      </w:docPartObj>
    </w:sdtPr>
    <w:sdtEndPr>
      <w:rPr>
        <w:noProof/>
      </w:rPr>
    </w:sdtEndPr>
    <w:sdtContent>
      <w:p w14:paraId="43333AEF" w14:textId="13349E07" w:rsidR="00A10F1B" w:rsidRDefault="00A10F1B">
        <w:pPr>
          <w:pStyle w:val="Footer"/>
          <w:jc w:val="right"/>
        </w:pPr>
        <w:r>
          <w:fldChar w:fldCharType="begin"/>
        </w:r>
        <w:r>
          <w:instrText xml:space="preserve"> PAGE   \* MERGEFORMAT </w:instrText>
        </w:r>
        <w:r>
          <w:fldChar w:fldCharType="separate"/>
        </w:r>
        <w:r w:rsidR="00574ED7">
          <w:rPr>
            <w:noProof/>
          </w:rPr>
          <w:t>28</w:t>
        </w:r>
        <w:r>
          <w:rPr>
            <w:noProof/>
          </w:rPr>
          <w:fldChar w:fldCharType="end"/>
        </w:r>
      </w:p>
    </w:sdtContent>
  </w:sdt>
  <w:p w14:paraId="0A2A7F0F" w14:textId="77777777" w:rsidR="00A10F1B" w:rsidRDefault="00A1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8D5C" w14:textId="3A08CAAD" w:rsidR="00A10F1B" w:rsidRDefault="00A10F1B">
    <w:pPr>
      <w:pStyle w:val="Footer"/>
    </w:pPr>
    <w:r>
      <w:t xml:space="preserve">                                                                 </w:t>
    </w:r>
    <w:sdt>
      <w:sdtPr>
        <w:id w:val="-1589999536"/>
        <w:docPartObj>
          <w:docPartGallery w:val="Page Numbers (Bottom of Page)"/>
          <w:docPartUnique/>
        </w:docPartObj>
      </w:sdtPr>
      <w:sdtEndPr/>
      <w:sdtContent>
        <w:sdt>
          <w:sdtPr>
            <w:id w:val="-828893551"/>
            <w:docPartObj>
              <w:docPartGallery w:val="Page Numbers (Top of Page)"/>
              <w:docPartUnique/>
            </w:docPartObj>
          </w:sdtPr>
          <w:sdtEndPr/>
          <w:sdtContent>
            <w:r>
              <w:t xml:space="preserve">          </w:t>
            </w:r>
          </w:sdtContent>
        </w:sdt>
      </w:sdtContent>
    </w:sdt>
  </w:p>
  <w:p w14:paraId="5E90DEF5" w14:textId="77777777" w:rsidR="00A10F1B" w:rsidRDefault="00A10F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D628" w14:textId="77777777" w:rsidR="00297BE2" w:rsidRDefault="00297BE2" w:rsidP="00733C4F">
      <w:pPr>
        <w:spacing w:after="0" w:line="240" w:lineRule="auto"/>
      </w:pPr>
      <w:r>
        <w:separator/>
      </w:r>
    </w:p>
  </w:footnote>
  <w:footnote w:type="continuationSeparator" w:id="0">
    <w:p w14:paraId="1F709AC9" w14:textId="77777777" w:rsidR="00297BE2" w:rsidRDefault="00297BE2" w:rsidP="00733C4F">
      <w:pPr>
        <w:spacing w:after="0" w:line="240" w:lineRule="auto"/>
      </w:pPr>
      <w:r>
        <w:continuationSeparator/>
      </w:r>
    </w:p>
  </w:footnote>
  <w:footnote w:type="continuationNotice" w:id="1">
    <w:p w14:paraId="0BB010EA" w14:textId="77777777" w:rsidR="00297BE2" w:rsidRDefault="00297BE2">
      <w:pPr>
        <w:spacing w:after="0" w:line="240" w:lineRule="auto"/>
      </w:pPr>
    </w:p>
  </w:footnote>
  <w:footnote w:id="2">
    <w:p w14:paraId="1E391B2F" w14:textId="77777777" w:rsidR="00402490" w:rsidRPr="006D2651" w:rsidRDefault="00402490" w:rsidP="00402490">
      <w:pPr>
        <w:pStyle w:val="FootnoteText"/>
        <w:jc w:val="both"/>
      </w:pPr>
      <w:r w:rsidRPr="00402490">
        <w:rPr>
          <w:rStyle w:val="FootnoteReference"/>
        </w:rPr>
        <w:footnoteRef/>
      </w:r>
      <w:r w:rsidRPr="00402490">
        <w:t xml:space="preserve"> Discounted Cash Flow methodology refers to equating the actual/projected inflows from the revenue earnings out of applicable petroleum and petroleum product pipeline tariff with the actual/projected outflows of capital and operating expenditures over the economic life of the project by discounting these flows at the project’s reasonable rate of return. The inflows and outflows are considered at actuals </w:t>
      </w:r>
      <w:bookmarkStart w:id="2" w:name="_Hlk155432458"/>
      <w:r w:rsidRPr="00402490">
        <w:t xml:space="preserve">till the date of the coming into force of the Petroleum and Natural Gas Regulatory Board (Determination of Petroleum and Petroleum Products Pipeline Transportation Tariff) Amendment Regulations, 2024 and for the remaining economic life of the pipeline the </w:t>
      </w:r>
      <w:bookmarkEnd w:id="2"/>
      <w:r w:rsidRPr="00402490">
        <w:t>inflows and outflows are estimated. These combined cashflows and outflows shall be used to arrive at the internal rate of return of the pipeline over the economic life.</w:t>
      </w:r>
    </w:p>
    <w:p w14:paraId="16449663" w14:textId="77777777" w:rsidR="00A10F1B" w:rsidRPr="009C48F4" w:rsidRDefault="00A10F1B" w:rsidP="006D2651">
      <w:pPr>
        <w:pStyle w:val="FootnoteText"/>
        <w:jc w:val="both"/>
      </w:pPr>
    </w:p>
  </w:footnote>
  <w:footnote w:id="3">
    <w:p w14:paraId="751CE6DA" w14:textId="52F2207D" w:rsidR="00A10F1B" w:rsidRDefault="00A10F1B" w:rsidP="006D2651">
      <w:pPr>
        <w:pStyle w:val="FootnoteText"/>
      </w:pPr>
    </w:p>
    <w:p w14:paraId="35CD2D84" w14:textId="4666E99C" w:rsidR="00A10F1B" w:rsidRDefault="00A10F1B" w:rsidP="006D2651">
      <w:pPr>
        <w:pStyle w:val="FootnoteText"/>
      </w:pPr>
      <w:r>
        <w:rPr>
          <w:rStyle w:val="FootnoteReference"/>
        </w:rPr>
        <w:footnoteRef/>
      </w:r>
      <w:r>
        <w:t xml:space="preserve"> Depreciation shall be calculated based on the useful life of the asset as specified in Schedule-II to the Companies Act, 2013 on the value of gross fixed assets on a straight line method.</w:t>
      </w:r>
    </w:p>
  </w:footnote>
  <w:footnote w:id="4">
    <w:p w14:paraId="3C8F7764" w14:textId="142DFF5E" w:rsidR="00A10F1B" w:rsidRDefault="00A10F1B" w:rsidP="006D2651">
      <w:pPr>
        <w:pStyle w:val="FootnoteText"/>
        <w:jc w:val="both"/>
      </w:pPr>
      <w:r>
        <w:rPr>
          <w:rStyle w:val="FootnoteReference"/>
        </w:rPr>
        <w:footnoteRef/>
      </w:r>
      <w:r>
        <w:t xml:space="preserve"> The basis and parameters identified here are not exhaustive and may vary depending upon the specific petroleum and petroleum products pipeline project under consideration which the Board may apply in a transparent manner.</w:t>
      </w:r>
    </w:p>
  </w:footnote>
  <w:footnote w:id="5">
    <w:p w14:paraId="16FE2949" w14:textId="77777777" w:rsidR="00A10F1B" w:rsidRDefault="00A10F1B" w:rsidP="006D2651">
      <w:pPr>
        <w:pStyle w:val="FootnoteText"/>
        <w:jc w:val="both"/>
      </w:pPr>
      <w:r>
        <w:rPr>
          <w:rStyle w:val="FootnoteReference"/>
        </w:rPr>
        <w:footnoteRef/>
      </w:r>
      <w:r>
        <w:t xml:space="preserve"> Operating costs are those which are necessary for a proper upkeep and maintenance of a tangible asset created for operation of the petroleum and petroleum products pipeline and does not include any financial cost, like, interest on loans, bad debts, sales promotion, advertisement expenses (except for tenders), expenditure incurred in raising or servicing of capital or debenture or bond or any debt, exchange variation on revenue account, but includes normal bank charges, bank guarantee charges, LC charges and bank charges for bid and performance bonds required as per the terms of authorization/ bidding for the pipeline.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9FF"/>
    <w:multiLevelType w:val="hybridMultilevel"/>
    <w:tmpl w:val="0AFA618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41F3DBD"/>
    <w:multiLevelType w:val="hybridMultilevel"/>
    <w:tmpl w:val="7A8E16BA"/>
    <w:lvl w:ilvl="0" w:tplc="77264F0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2" w15:restartNumberingAfterBreak="0">
    <w:nsid w:val="045155C9"/>
    <w:multiLevelType w:val="hybridMultilevel"/>
    <w:tmpl w:val="99CCC4B8"/>
    <w:lvl w:ilvl="0" w:tplc="6B8EAD4E">
      <w:start w:val="1"/>
      <w:numFmt w:val="lowerLetter"/>
      <w:lvlText w:val="(%1)"/>
      <w:lvlJc w:val="left"/>
      <w:pPr>
        <w:ind w:left="1107" w:hanging="360"/>
      </w:pPr>
    </w:lvl>
    <w:lvl w:ilvl="1" w:tplc="40090019">
      <w:start w:val="1"/>
      <w:numFmt w:val="lowerLetter"/>
      <w:lvlText w:val="%2."/>
      <w:lvlJc w:val="left"/>
      <w:pPr>
        <w:ind w:left="693" w:hanging="360"/>
      </w:pPr>
    </w:lvl>
    <w:lvl w:ilvl="2" w:tplc="4009001B">
      <w:start w:val="1"/>
      <w:numFmt w:val="lowerRoman"/>
      <w:lvlText w:val="%3."/>
      <w:lvlJc w:val="right"/>
      <w:pPr>
        <w:ind w:left="1413" w:hanging="180"/>
      </w:pPr>
    </w:lvl>
    <w:lvl w:ilvl="3" w:tplc="4009000F">
      <w:start w:val="1"/>
      <w:numFmt w:val="decimal"/>
      <w:lvlText w:val="%4."/>
      <w:lvlJc w:val="left"/>
      <w:pPr>
        <w:ind w:left="2133" w:hanging="360"/>
      </w:pPr>
    </w:lvl>
    <w:lvl w:ilvl="4" w:tplc="40090019">
      <w:start w:val="1"/>
      <w:numFmt w:val="lowerLetter"/>
      <w:lvlText w:val="%5."/>
      <w:lvlJc w:val="left"/>
      <w:pPr>
        <w:ind w:left="2853" w:hanging="360"/>
      </w:pPr>
    </w:lvl>
    <w:lvl w:ilvl="5" w:tplc="4009001B">
      <w:start w:val="1"/>
      <w:numFmt w:val="lowerRoman"/>
      <w:lvlText w:val="%6."/>
      <w:lvlJc w:val="right"/>
      <w:pPr>
        <w:ind w:left="3573" w:hanging="180"/>
      </w:pPr>
    </w:lvl>
    <w:lvl w:ilvl="6" w:tplc="4009000F">
      <w:start w:val="1"/>
      <w:numFmt w:val="decimal"/>
      <w:lvlText w:val="%7."/>
      <w:lvlJc w:val="left"/>
      <w:pPr>
        <w:ind w:left="4293" w:hanging="360"/>
      </w:pPr>
    </w:lvl>
    <w:lvl w:ilvl="7" w:tplc="40090019">
      <w:start w:val="1"/>
      <w:numFmt w:val="lowerLetter"/>
      <w:lvlText w:val="%8."/>
      <w:lvlJc w:val="left"/>
      <w:pPr>
        <w:ind w:left="5013" w:hanging="360"/>
      </w:pPr>
    </w:lvl>
    <w:lvl w:ilvl="8" w:tplc="4009001B">
      <w:start w:val="1"/>
      <w:numFmt w:val="lowerRoman"/>
      <w:lvlText w:val="%9."/>
      <w:lvlJc w:val="right"/>
      <w:pPr>
        <w:ind w:left="5733" w:hanging="180"/>
      </w:pPr>
    </w:lvl>
  </w:abstractNum>
  <w:abstractNum w:abstractNumId="3" w15:restartNumberingAfterBreak="0">
    <w:nsid w:val="07894B5F"/>
    <w:multiLevelType w:val="hybridMultilevel"/>
    <w:tmpl w:val="6024C2F4"/>
    <w:lvl w:ilvl="0" w:tplc="77264F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0646AB"/>
    <w:multiLevelType w:val="hybridMultilevel"/>
    <w:tmpl w:val="619C0AC0"/>
    <w:lvl w:ilvl="0" w:tplc="ED28D3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416A3"/>
    <w:multiLevelType w:val="hybridMultilevel"/>
    <w:tmpl w:val="0554AFE2"/>
    <w:lvl w:ilvl="0" w:tplc="EBDA9C1E">
      <w:start w:val="1"/>
      <w:numFmt w:val="decimal"/>
      <w:lvlText w:val="(%1)"/>
      <w:lvlJc w:val="left"/>
      <w:pPr>
        <w:ind w:left="117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B6E7C27"/>
    <w:multiLevelType w:val="hybridMultilevel"/>
    <w:tmpl w:val="57CE09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F7088B"/>
    <w:multiLevelType w:val="hybridMultilevel"/>
    <w:tmpl w:val="0F72E032"/>
    <w:lvl w:ilvl="0" w:tplc="0C462A4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76D4A83"/>
    <w:multiLevelType w:val="hybridMultilevel"/>
    <w:tmpl w:val="95822AFE"/>
    <w:lvl w:ilvl="0" w:tplc="153E681C">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83F4448"/>
    <w:multiLevelType w:val="hybridMultilevel"/>
    <w:tmpl w:val="241CC0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EE71F4"/>
    <w:multiLevelType w:val="hybridMultilevel"/>
    <w:tmpl w:val="CBFAB016"/>
    <w:lvl w:ilvl="0" w:tplc="4009000F">
      <w:start w:val="1"/>
      <w:numFmt w:val="decimal"/>
      <w:lvlText w:val="%1."/>
      <w:lvlJc w:val="left"/>
      <w:pPr>
        <w:ind w:left="333" w:hanging="360"/>
      </w:p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11" w15:restartNumberingAfterBreak="0">
    <w:nsid w:val="3B6C5B27"/>
    <w:multiLevelType w:val="hybridMultilevel"/>
    <w:tmpl w:val="F0A81D76"/>
    <w:lvl w:ilvl="0" w:tplc="EBDA9C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68AAD3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94636"/>
    <w:multiLevelType w:val="hybridMultilevel"/>
    <w:tmpl w:val="57CCB088"/>
    <w:lvl w:ilvl="0" w:tplc="D34828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DCA229F"/>
    <w:multiLevelType w:val="hybridMultilevel"/>
    <w:tmpl w:val="625CE1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72412F"/>
    <w:multiLevelType w:val="hybridMultilevel"/>
    <w:tmpl w:val="B6EE6F3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47F0CD5"/>
    <w:multiLevelType w:val="hybridMultilevel"/>
    <w:tmpl w:val="48F8D8EE"/>
    <w:lvl w:ilvl="0" w:tplc="EBDA9C1E">
      <w:start w:val="1"/>
      <w:numFmt w:val="decimal"/>
      <w:lvlText w:val="(%1)"/>
      <w:lvlJc w:val="left"/>
      <w:pPr>
        <w:ind w:left="1125" w:hanging="360"/>
      </w:pPr>
    </w:lvl>
    <w:lvl w:ilvl="1" w:tplc="40090019">
      <w:start w:val="1"/>
      <w:numFmt w:val="lowerLetter"/>
      <w:lvlText w:val="%2."/>
      <w:lvlJc w:val="left"/>
      <w:pPr>
        <w:ind w:left="1845" w:hanging="360"/>
      </w:pPr>
    </w:lvl>
    <w:lvl w:ilvl="2" w:tplc="4009001B">
      <w:start w:val="1"/>
      <w:numFmt w:val="lowerRoman"/>
      <w:lvlText w:val="%3."/>
      <w:lvlJc w:val="right"/>
      <w:pPr>
        <w:ind w:left="2565" w:hanging="180"/>
      </w:pPr>
    </w:lvl>
    <w:lvl w:ilvl="3" w:tplc="4009000F">
      <w:start w:val="1"/>
      <w:numFmt w:val="decimal"/>
      <w:lvlText w:val="%4."/>
      <w:lvlJc w:val="left"/>
      <w:pPr>
        <w:ind w:left="3285" w:hanging="360"/>
      </w:pPr>
    </w:lvl>
    <w:lvl w:ilvl="4" w:tplc="40090019">
      <w:start w:val="1"/>
      <w:numFmt w:val="lowerLetter"/>
      <w:lvlText w:val="%5."/>
      <w:lvlJc w:val="left"/>
      <w:pPr>
        <w:ind w:left="4005" w:hanging="360"/>
      </w:pPr>
    </w:lvl>
    <w:lvl w:ilvl="5" w:tplc="4009001B">
      <w:start w:val="1"/>
      <w:numFmt w:val="lowerRoman"/>
      <w:lvlText w:val="%6."/>
      <w:lvlJc w:val="right"/>
      <w:pPr>
        <w:ind w:left="4725" w:hanging="180"/>
      </w:pPr>
    </w:lvl>
    <w:lvl w:ilvl="6" w:tplc="4009000F">
      <w:start w:val="1"/>
      <w:numFmt w:val="decimal"/>
      <w:lvlText w:val="%7."/>
      <w:lvlJc w:val="left"/>
      <w:pPr>
        <w:ind w:left="5445" w:hanging="360"/>
      </w:pPr>
    </w:lvl>
    <w:lvl w:ilvl="7" w:tplc="40090019">
      <w:start w:val="1"/>
      <w:numFmt w:val="lowerLetter"/>
      <w:lvlText w:val="%8."/>
      <w:lvlJc w:val="left"/>
      <w:pPr>
        <w:ind w:left="6165" w:hanging="360"/>
      </w:pPr>
    </w:lvl>
    <w:lvl w:ilvl="8" w:tplc="4009001B">
      <w:start w:val="1"/>
      <w:numFmt w:val="lowerRoman"/>
      <w:lvlText w:val="%9."/>
      <w:lvlJc w:val="right"/>
      <w:pPr>
        <w:ind w:left="6885" w:hanging="180"/>
      </w:pPr>
    </w:lvl>
  </w:abstractNum>
  <w:abstractNum w:abstractNumId="16" w15:restartNumberingAfterBreak="0">
    <w:nsid w:val="45550091"/>
    <w:multiLevelType w:val="hybridMultilevel"/>
    <w:tmpl w:val="18F4B770"/>
    <w:lvl w:ilvl="0" w:tplc="EBDA9C1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7" w15:restartNumberingAfterBreak="0">
    <w:nsid w:val="4CEA663F"/>
    <w:multiLevelType w:val="hybridMultilevel"/>
    <w:tmpl w:val="798080DA"/>
    <w:lvl w:ilvl="0" w:tplc="AFACFEC2">
      <w:start w:val="1"/>
      <w:numFmt w:val="lowerLetter"/>
      <w:lvlText w:val="(%1)"/>
      <w:lvlJc w:val="left"/>
      <w:pPr>
        <w:ind w:left="1440" w:hanging="360"/>
      </w:pPr>
      <w:rPr>
        <w:rFonts w:hint="default"/>
        <w:b w:val="0"/>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320F37"/>
    <w:multiLevelType w:val="hybridMultilevel"/>
    <w:tmpl w:val="5374FA48"/>
    <w:lvl w:ilvl="0" w:tplc="2A9E57A2">
      <w:start w:val="1"/>
      <w:numFmt w:val="decimal"/>
      <w:lvlText w:val="(%1)"/>
      <w:lvlJc w:val="left"/>
      <w:pPr>
        <w:ind w:left="693" w:hanging="360"/>
      </w:pPr>
      <w:rPr>
        <w:rFonts w:hint="default"/>
        <w:b w:val="0"/>
        <w:bCs w:val="0"/>
        <w:i w:val="0"/>
        <w:iCs w:val="0"/>
        <w:color w:val="auto"/>
      </w:rPr>
    </w:lvl>
    <w:lvl w:ilvl="1" w:tplc="40090019" w:tentative="1">
      <w:start w:val="1"/>
      <w:numFmt w:val="lowerLetter"/>
      <w:lvlText w:val="%2."/>
      <w:lvlJc w:val="left"/>
      <w:pPr>
        <w:ind w:left="1413" w:hanging="360"/>
      </w:pPr>
    </w:lvl>
    <w:lvl w:ilvl="2" w:tplc="4009001B" w:tentative="1">
      <w:start w:val="1"/>
      <w:numFmt w:val="lowerRoman"/>
      <w:lvlText w:val="%3."/>
      <w:lvlJc w:val="right"/>
      <w:pPr>
        <w:ind w:left="2133" w:hanging="180"/>
      </w:pPr>
    </w:lvl>
    <w:lvl w:ilvl="3" w:tplc="4009000F" w:tentative="1">
      <w:start w:val="1"/>
      <w:numFmt w:val="decimal"/>
      <w:lvlText w:val="%4."/>
      <w:lvlJc w:val="left"/>
      <w:pPr>
        <w:ind w:left="2853" w:hanging="360"/>
      </w:pPr>
    </w:lvl>
    <w:lvl w:ilvl="4" w:tplc="40090019" w:tentative="1">
      <w:start w:val="1"/>
      <w:numFmt w:val="lowerLetter"/>
      <w:lvlText w:val="%5."/>
      <w:lvlJc w:val="left"/>
      <w:pPr>
        <w:ind w:left="3573" w:hanging="360"/>
      </w:pPr>
    </w:lvl>
    <w:lvl w:ilvl="5" w:tplc="4009001B" w:tentative="1">
      <w:start w:val="1"/>
      <w:numFmt w:val="lowerRoman"/>
      <w:lvlText w:val="%6."/>
      <w:lvlJc w:val="right"/>
      <w:pPr>
        <w:ind w:left="4293" w:hanging="180"/>
      </w:pPr>
    </w:lvl>
    <w:lvl w:ilvl="6" w:tplc="4009000F" w:tentative="1">
      <w:start w:val="1"/>
      <w:numFmt w:val="decimal"/>
      <w:lvlText w:val="%7."/>
      <w:lvlJc w:val="left"/>
      <w:pPr>
        <w:ind w:left="5013" w:hanging="360"/>
      </w:pPr>
    </w:lvl>
    <w:lvl w:ilvl="7" w:tplc="40090019" w:tentative="1">
      <w:start w:val="1"/>
      <w:numFmt w:val="lowerLetter"/>
      <w:lvlText w:val="%8."/>
      <w:lvlJc w:val="left"/>
      <w:pPr>
        <w:ind w:left="5733" w:hanging="360"/>
      </w:pPr>
    </w:lvl>
    <w:lvl w:ilvl="8" w:tplc="4009001B" w:tentative="1">
      <w:start w:val="1"/>
      <w:numFmt w:val="lowerRoman"/>
      <w:lvlText w:val="%9."/>
      <w:lvlJc w:val="right"/>
      <w:pPr>
        <w:ind w:left="6453" w:hanging="180"/>
      </w:pPr>
    </w:lvl>
  </w:abstractNum>
  <w:abstractNum w:abstractNumId="19" w15:restartNumberingAfterBreak="0">
    <w:nsid w:val="59A96056"/>
    <w:multiLevelType w:val="hybridMultilevel"/>
    <w:tmpl w:val="02A85C70"/>
    <w:lvl w:ilvl="0" w:tplc="40090017">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20" w15:restartNumberingAfterBreak="0">
    <w:nsid w:val="5CBC51B9"/>
    <w:multiLevelType w:val="hybridMultilevel"/>
    <w:tmpl w:val="3E884AA8"/>
    <w:lvl w:ilvl="0" w:tplc="0D92E68C">
      <w:start w:val="1"/>
      <w:numFmt w:val="lowerLetter"/>
      <w:lvlText w:val="(%1)"/>
      <w:lvlJc w:val="left"/>
      <w:pPr>
        <w:ind w:left="1254" w:hanging="360"/>
      </w:p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start w:val="1"/>
      <w:numFmt w:val="decimal"/>
      <w:lvlText w:val="%4."/>
      <w:lvlJc w:val="left"/>
      <w:pPr>
        <w:ind w:left="3414" w:hanging="360"/>
      </w:pPr>
    </w:lvl>
    <w:lvl w:ilvl="4" w:tplc="04090019">
      <w:start w:val="1"/>
      <w:numFmt w:val="lowerLetter"/>
      <w:lvlText w:val="%5."/>
      <w:lvlJc w:val="left"/>
      <w:pPr>
        <w:ind w:left="4134" w:hanging="360"/>
      </w:pPr>
    </w:lvl>
    <w:lvl w:ilvl="5" w:tplc="0409001B">
      <w:start w:val="1"/>
      <w:numFmt w:val="lowerRoman"/>
      <w:lvlText w:val="%6."/>
      <w:lvlJc w:val="right"/>
      <w:pPr>
        <w:ind w:left="4854" w:hanging="180"/>
      </w:pPr>
    </w:lvl>
    <w:lvl w:ilvl="6" w:tplc="0409000F">
      <w:start w:val="1"/>
      <w:numFmt w:val="decimal"/>
      <w:lvlText w:val="%7."/>
      <w:lvlJc w:val="left"/>
      <w:pPr>
        <w:ind w:left="5574" w:hanging="360"/>
      </w:pPr>
    </w:lvl>
    <w:lvl w:ilvl="7" w:tplc="04090019">
      <w:start w:val="1"/>
      <w:numFmt w:val="lowerLetter"/>
      <w:lvlText w:val="%8."/>
      <w:lvlJc w:val="left"/>
      <w:pPr>
        <w:ind w:left="6294" w:hanging="360"/>
      </w:pPr>
    </w:lvl>
    <w:lvl w:ilvl="8" w:tplc="0409001B">
      <w:start w:val="1"/>
      <w:numFmt w:val="lowerRoman"/>
      <w:lvlText w:val="%9."/>
      <w:lvlJc w:val="right"/>
      <w:pPr>
        <w:ind w:left="7014" w:hanging="180"/>
      </w:pPr>
    </w:lvl>
  </w:abstractNum>
  <w:abstractNum w:abstractNumId="21" w15:restartNumberingAfterBreak="0">
    <w:nsid w:val="5DE867B5"/>
    <w:multiLevelType w:val="hybridMultilevel"/>
    <w:tmpl w:val="18F4B770"/>
    <w:lvl w:ilvl="0" w:tplc="EBDA9C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F6919FC"/>
    <w:multiLevelType w:val="hybridMultilevel"/>
    <w:tmpl w:val="804208E8"/>
    <w:lvl w:ilvl="0" w:tplc="3B989904">
      <w:start w:val="2"/>
      <w:numFmt w:val="decimal"/>
      <w:lvlText w:val="(%1)"/>
      <w:lvlJc w:val="left"/>
      <w:pPr>
        <w:ind w:left="2007"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6034644A"/>
    <w:multiLevelType w:val="hybridMultilevel"/>
    <w:tmpl w:val="4E2073B4"/>
    <w:lvl w:ilvl="0" w:tplc="40090017">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24" w15:restartNumberingAfterBreak="0">
    <w:nsid w:val="622C79E3"/>
    <w:multiLevelType w:val="hybridMultilevel"/>
    <w:tmpl w:val="76783F1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629374B1"/>
    <w:multiLevelType w:val="hybridMultilevel"/>
    <w:tmpl w:val="3F5ADA38"/>
    <w:lvl w:ilvl="0" w:tplc="D1704374">
      <w:start w:val="1"/>
      <w:numFmt w:val="upperLetter"/>
      <w:lvlText w:val="%1."/>
      <w:lvlJc w:val="left"/>
      <w:pPr>
        <w:ind w:left="720" w:hanging="360"/>
      </w:pPr>
      <w:rPr>
        <w:b w:val="0"/>
        <w:bCs w:val="0"/>
        <w:i w:val="0"/>
        <w:iCs w:val="0"/>
      </w:rPr>
    </w:lvl>
    <w:lvl w:ilvl="1" w:tplc="2CAC4E68">
      <w:start w:val="1"/>
      <w:numFmt w:val="decimal"/>
      <w:lvlText w:val="(%2)"/>
      <w:lvlJc w:val="left"/>
      <w:pPr>
        <w:ind w:left="1080" w:firstLine="0"/>
      </w:pPr>
      <w:rPr>
        <w:rFonts w:hint="default"/>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DCA33A3"/>
    <w:multiLevelType w:val="hybridMultilevel"/>
    <w:tmpl w:val="8410D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7188B"/>
    <w:multiLevelType w:val="hybridMultilevel"/>
    <w:tmpl w:val="95042026"/>
    <w:lvl w:ilvl="0" w:tplc="D04C86F0">
      <w:start w:val="1"/>
      <w:numFmt w:val="decimal"/>
      <w:lvlText w:val="(%1)"/>
      <w:lvlJc w:val="left"/>
      <w:pPr>
        <w:ind w:left="693" w:hanging="360"/>
      </w:pPr>
    </w:lvl>
    <w:lvl w:ilvl="1" w:tplc="40090019" w:tentative="1">
      <w:start w:val="1"/>
      <w:numFmt w:val="lowerLetter"/>
      <w:lvlText w:val="%2."/>
      <w:lvlJc w:val="left"/>
      <w:pPr>
        <w:ind w:left="1413" w:hanging="360"/>
      </w:pPr>
    </w:lvl>
    <w:lvl w:ilvl="2" w:tplc="4009001B" w:tentative="1">
      <w:start w:val="1"/>
      <w:numFmt w:val="lowerRoman"/>
      <w:lvlText w:val="%3."/>
      <w:lvlJc w:val="right"/>
      <w:pPr>
        <w:ind w:left="2133" w:hanging="180"/>
      </w:pPr>
    </w:lvl>
    <w:lvl w:ilvl="3" w:tplc="4009000F" w:tentative="1">
      <w:start w:val="1"/>
      <w:numFmt w:val="decimal"/>
      <w:lvlText w:val="%4."/>
      <w:lvlJc w:val="left"/>
      <w:pPr>
        <w:ind w:left="2853" w:hanging="360"/>
      </w:pPr>
    </w:lvl>
    <w:lvl w:ilvl="4" w:tplc="40090019" w:tentative="1">
      <w:start w:val="1"/>
      <w:numFmt w:val="lowerLetter"/>
      <w:lvlText w:val="%5."/>
      <w:lvlJc w:val="left"/>
      <w:pPr>
        <w:ind w:left="3573" w:hanging="360"/>
      </w:pPr>
    </w:lvl>
    <w:lvl w:ilvl="5" w:tplc="4009001B" w:tentative="1">
      <w:start w:val="1"/>
      <w:numFmt w:val="lowerRoman"/>
      <w:lvlText w:val="%6."/>
      <w:lvlJc w:val="right"/>
      <w:pPr>
        <w:ind w:left="4293" w:hanging="180"/>
      </w:pPr>
    </w:lvl>
    <w:lvl w:ilvl="6" w:tplc="4009000F" w:tentative="1">
      <w:start w:val="1"/>
      <w:numFmt w:val="decimal"/>
      <w:lvlText w:val="%7."/>
      <w:lvlJc w:val="left"/>
      <w:pPr>
        <w:ind w:left="5013" w:hanging="360"/>
      </w:pPr>
    </w:lvl>
    <w:lvl w:ilvl="7" w:tplc="40090019" w:tentative="1">
      <w:start w:val="1"/>
      <w:numFmt w:val="lowerLetter"/>
      <w:lvlText w:val="%8."/>
      <w:lvlJc w:val="left"/>
      <w:pPr>
        <w:ind w:left="5733" w:hanging="360"/>
      </w:pPr>
    </w:lvl>
    <w:lvl w:ilvl="8" w:tplc="4009001B" w:tentative="1">
      <w:start w:val="1"/>
      <w:numFmt w:val="lowerRoman"/>
      <w:lvlText w:val="%9."/>
      <w:lvlJc w:val="right"/>
      <w:pPr>
        <w:ind w:left="6453" w:hanging="180"/>
      </w:pPr>
    </w:lvl>
  </w:abstractNum>
  <w:abstractNum w:abstractNumId="28" w15:restartNumberingAfterBreak="0">
    <w:nsid w:val="7D1A1AC0"/>
    <w:multiLevelType w:val="hybridMultilevel"/>
    <w:tmpl w:val="5BF4003E"/>
    <w:lvl w:ilvl="0" w:tplc="77264F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9"/>
  </w:num>
  <w:num w:numId="5">
    <w:abstractNumId w:val="4"/>
  </w:num>
  <w:num w:numId="6">
    <w:abstractNumId w:val="11"/>
  </w:num>
  <w:num w:numId="7">
    <w:abstractNumId w:val="6"/>
  </w:num>
  <w:num w:numId="8">
    <w:abstractNumId w:val="17"/>
  </w:num>
  <w:num w:numId="9">
    <w:abstractNumId w:val="21"/>
  </w:num>
  <w:num w:numId="10">
    <w:abstractNumId w:val="2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4"/>
  </w:num>
  <w:num w:numId="16">
    <w:abstractNumId w:val="14"/>
  </w:num>
  <w:num w:numId="17">
    <w:abstractNumId w:val="25"/>
  </w:num>
  <w:num w:numId="18">
    <w:abstractNumId w:val="28"/>
  </w:num>
  <w:num w:numId="19">
    <w:abstractNumId w:val="19"/>
  </w:num>
  <w:num w:numId="20">
    <w:abstractNumId w:val="23"/>
  </w:num>
  <w:num w:numId="21">
    <w:abstractNumId w:val="1"/>
  </w:num>
  <w:num w:numId="22">
    <w:abstractNumId w:val="1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4F"/>
    <w:rsid w:val="000018C3"/>
    <w:rsid w:val="0000323A"/>
    <w:rsid w:val="000045D1"/>
    <w:rsid w:val="00005659"/>
    <w:rsid w:val="000069C5"/>
    <w:rsid w:val="00013DE8"/>
    <w:rsid w:val="00014446"/>
    <w:rsid w:val="00014782"/>
    <w:rsid w:val="000167A2"/>
    <w:rsid w:val="00016986"/>
    <w:rsid w:val="000170DA"/>
    <w:rsid w:val="00022841"/>
    <w:rsid w:val="00024A8F"/>
    <w:rsid w:val="00024FA4"/>
    <w:rsid w:val="0002584B"/>
    <w:rsid w:val="000269A2"/>
    <w:rsid w:val="00026AB3"/>
    <w:rsid w:val="0003023D"/>
    <w:rsid w:val="00030C83"/>
    <w:rsid w:val="0003450A"/>
    <w:rsid w:val="00040C0B"/>
    <w:rsid w:val="00041C24"/>
    <w:rsid w:val="000420D5"/>
    <w:rsid w:val="000437C2"/>
    <w:rsid w:val="0004571D"/>
    <w:rsid w:val="000460EF"/>
    <w:rsid w:val="000516DE"/>
    <w:rsid w:val="0005182E"/>
    <w:rsid w:val="00051F62"/>
    <w:rsid w:val="00052CD2"/>
    <w:rsid w:val="00053399"/>
    <w:rsid w:val="000534A2"/>
    <w:rsid w:val="00054182"/>
    <w:rsid w:val="00055960"/>
    <w:rsid w:val="00057DE7"/>
    <w:rsid w:val="000611F6"/>
    <w:rsid w:val="00061D05"/>
    <w:rsid w:val="000629B8"/>
    <w:rsid w:val="00062B7D"/>
    <w:rsid w:val="00064B43"/>
    <w:rsid w:val="00066AC3"/>
    <w:rsid w:val="00067DDD"/>
    <w:rsid w:val="00070069"/>
    <w:rsid w:val="00070165"/>
    <w:rsid w:val="00070F4D"/>
    <w:rsid w:val="000719BF"/>
    <w:rsid w:val="00072161"/>
    <w:rsid w:val="00073646"/>
    <w:rsid w:val="000829CA"/>
    <w:rsid w:val="00082D69"/>
    <w:rsid w:val="00082F28"/>
    <w:rsid w:val="00084D41"/>
    <w:rsid w:val="00084E11"/>
    <w:rsid w:val="00084ED5"/>
    <w:rsid w:val="00085818"/>
    <w:rsid w:val="000859B0"/>
    <w:rsid w:val="00085A48"/>
    <w:rsid w:val="00087311"/>
    <w:rsid w:val="00092112"/>
    <w:rsid w:val="00092ED1"/>
    <w:rsid w:val="000949F9"/>
    <w:rsid w:val="00095304"/>
    <w:rsid w:val="000958A3"/>
    <w:rsid w:val="0009642A"/>
    <w:rsid w:val="0009668C"/>
    <w:rsid w:val="00096ED7"/>
    <w:rsid w:val="00096F78"/>
    <w:rsid w:val="0009793A"/>
    <w:rsid w:val="000A0529"/>
    <w:rsid w:val="000A147C"/>
    <w:rsid w:val="000A1AC7"/>
    <w:rsid w:val="000A2010"/>
    <w:rsid w:val="000A3745"/>
    <w:rsid w:val="000A41D2"/>
    <w:rsid w:val="000A4768"/>
    <w:rsid w:val="000A576E"/>
    <w:rsid w:val="000A694E"/>
    <w:rsid w:val="000B19E3"/>
    <w:rsid w:val="000B21E3"/>
    <w:rsid w:val="000B41CB"/>
    <w:rsid w:val="000B433E"/>
    <w:rsid w:val="000B5A92"/>
    <w:rsid w:val="000C2DC7"/>
    <w:rsid w:val="000C42AD"/>
    <w:rsid w:val="000C4781"/>
    <w:rsid w:val="000C48AD"/>
    <w:rsid w:val="000C7802"/>
    <w:rsid w:val="000D066D"/>
    <w:rsid w:val="000D0B76"/>
    <w:rsid w:val="000D59FF"/>
    <w:rsid w:val="000D5D73"/>
    <w:rsid w:val="000D65B1"/>
    <w:rsid w:val="000D79DB"/>
    <w:rsid w:val="000E0C70"/>
    <w:rsid w:val="000E12F7"/>
    <w:rsid w:val="000E26A3"/>
    <w:rsid w:val="000E3133"/>
    <w:rsid w:val="000E3C1B"/>
    <w:rsid w:val="000E4C38"/>
    <w:rsid w:val="000E4E5A"/>
    <w:rsid w:val="000E6283"/>
    <w:rsid w:val="000E6BA5"/>
    <w:rsid w:val="000E7770"/>
    <w:rsid w:val="000F0CAF"/>
    <w:rsid w:val="000F30F4"/>
    <w:rsid w:val="000F4BC0"/>
    <w:rsid w:val="000F4C3D"/>
    <w:rsid w:val="000F5868"/>
    <w:rsid w:val="000F7C79"/>
    <w:rsid w:val="000F7CFE"/>
    <w:rsid w:val="00100F16"/>
    <w:rsid w:val="00102D5B"/>
    <w:rsid w:val="00103FDC"/>
    <w:rsid w:val="001074BF"/>
    <w:rsid w:val="00107551"/>
    <w:rsid w:val="001076CE"/>
    <w:rsid w:val="001103A3"/>
    <w:rsid w:val="001133FE"/>
    <w:rsid w:val="001152A8"/>
    <w:rsid w:val="001165FC"/>
    <w:rsid w:val="001173AA"/>
    <w:rsid w:val="0011749B"/>
    <w:rsid w:val="00117CEB"/>
    <w:rsid w:val="00120D7D"/>
    <w:rsid w:val="00120E23"/>
    <w:rsid w:val="00121C56"/>
    <w:rsid w:val="001220FC"/>
    <w:rsid w:val="00123C83"/>
    <w:rsid w:val="00130B24"/>
    <w:rsid w:val="00131B57"/>
    <w:rsid w:val="00131EA7"/>
    <w:rsid w:val="00131F4F"/>
    <w:rsid w:val="00132350"/>
    <w:rsid w:val="0013258D"/>
    <w:rsid w:val="00136016"/>
    <w:rsid w:val="001363EF"/>
    <w:rsid w:val="001413C1"/>
    <w:rsid w:val="00141FAE"/>
    <w:rsid w:val="00142C3F"/>
    <w:rsid w:val="001460C0"/>
    <w:rsid w:val="001507E9"/>
    <w:rsid w:val="00151E3F"/>
    <w:rsid w:val="00153F92"/>
    <w:rsid w:val="0015475F"/>
    <w:rsid w:val="00155120"/>
    <w:rsid w:val="00160C69"/>
    <w:rsid w:val="00160E87"/>
    <w:rsid w:val="00160F69"/>
    <w:rsid w:val="00160FB0"/>
    <w:rsid w:val="00162032"/>
    <w:rsid w:val="00163744"/>
    <w:rsid w:val="00163E44"/>
    <w:rsid w:val="0016527C"/>
    <w:rsid w:val="0016622B"/>
    <w:rsid w:val="00166C37"/>
    <w:rsid w:val="00167576"/>
    <w:rsid w:val="001704B6"/>
    <w:rsid w:val="00171C41"/>
    <w:rsid w:val="00173A81"/>
    <w:rsid w:val="00175422"/>
    <w:rsid w:val="001764E3"/>
    <w:rsid w:val="00177F32"/>
    <w:rsid w:val="00177F97"/>
    <w:rsid w:val="001827D5"/>
    <w:rsid w:val="001836F1"/>
    <w:rsid w:val="00184D2C"/>
    <w:rsid w:val="00185094"/>
    <w:rsid w:val="001856C3"/>
    <w:rsid w:val="00186107"/>
    <w:rsid w:val="00186E11"/>
    <w:rsid w:val="00186F66"/>
    <w:rsid w:val="00187912"/>
    <w:rsid w:val="0019390D"/>
    <w:rsid w:val="0019488A"/>
    <w:rsid w:val="001950D0"/>
    <w:rsid w:val="00196BE4"/>
    <w:rsid w:val="00197767"/>
    <w:rsid w:val="001A1E2A"/>
    <w:rsid w:val="001A4641"/>
    <w:rsid w:val="001A5C6D"/>
    <w:rsid w:val="001A7348"/>
    <w:rsid w:val="001B105C"/>
    <w:rsid w:val="001B1A46"/>
    <w:rsid w:val="001B2223"/>
    <w:rsid w:val="001B259B"/>
    <w:rsid w:val="001B378D"/>
    <w:rsid w:val="001B46A1"/>
    <w:rsid w:val="001B59AA"/>
    <w:rsid w:val="001B5E47"/>
    <w:rsid w:val="001C03A9"/>
    <w:rsid w:val="001C1013"/>
    <w:rsid w:val="001C2E05"/>
    <w:rsid w:val="001C555C"/>
    <w:rsid w:val="001C5CF1"/>
    <w:rsid w:val="001D1309"/>
    <w:rsid w:val="001D4A4B"/>
    <w:rsid w:val="001D5012"/>
    <w:rsid w:val="001D50D8"/>
    <w:rsid w:val="001D5EF5"/>
    <w:rsid w:val="001D5F6B"/>
    <w:rsid w:val="001D642C"/>
    <w:rsid w:val="001D6EB4"/>
    <w:rsid w:val="001D76F9"/>
    <w:rsid w:val="001E0B09"/>
    <w:rsid w:val="001E0B62"/>
    <w:rsid w:val="001E1441"/>
    <w:rsid w:val="001E1B45"/>
    <w:rsid w:val="001E4B9D"/>
    <w:rsid w:val="001E569B"/>
    <w:rsid w:val="001E5CF0"/>
    <w:rsid w:val="001E64E9"/>
    <w:rsid w:val="001F02F9"/>
    <w:rsid w:val="001F07C4"/>
    <w:rsid w:val="001F355E"/>
    <w:rsid w:val="001F3E1B"/>
    <w:rsid w:val="001F7169"/>
    <w:rsid w:val="00200122"/>
    <w:rsid w:val="002002CE"/>
    <w:rsid w:val="002012C5"/>
    <w:rsid w:val="00201462"/>
    <w:rsid w:val="002031DC"/>
    <w:rsid w:val="002032E0"/>
    <w:rsid w:val="0020371F"/>
    <w:rsid w:val="0020665A"/>
    <w:rsid w:val="0020770E"/>
    <w:rsid w:val="00207C4F"/>
    <w:rsid w:val="00207C9F"/>
    <w:rsid w:val="002113EF"/>
    <w:rsid w:val="00211DE0"/>
    <w:rsid w:val="002129A9"/>
    <w:rsid w:val="00213863"/>
    <w:rsid w:val="00215BEE"/>
    <w:rsid w:val="00217B58"/>
    <w:rsid w:val="00220F59"/>
    <w:rsid w:val="00222972"/>
    <w:rsid w:val="0022335F"/>
    <w:rsid w:val="00223A30"/>
    <w:rsid w:val="00225C08"/>
    <w:rsid w:val="00226C46"/>
    <w:rsid w:val="0022712C"/>
    <w:rsid w:val="00230468"/>
    <w:rsid w:val="00231493"/>
    <w:rsid w:val="00232E91"/>
    <w:rsid w:val="0023440F"/>
    <w:rsid w:val="00235A75"/>
    <w:rsid w:val="00236BB8"/>
    <w:rsid w:val="00243EAB"/>
    <w:rsid w:val="00247EC0"/>
    <w:rsid w:val="00251983"/>
    <w:rsid w:val="002522C7"/>
    <w:rsid w:val="00252C6A"/>
    <w:rsid w:val="002533D1"/>
    <w:rsid w:val="00254D84"/>
    <w:rsid w:val="002574CD"/>
    <w:rsid w:val="00261CED"/>
    <w:rsid w:val="0026264E"/>
    <w:rsid w:val="00264F71"/>
    <w:rsid w:val="00266930"/>
    <w:rsid w:val="00267F65"/>
    <w:rsid w:val="00270C49"/>
    <w:rsid w:val="00271656"/>
    <w:rsid w:val="00273537"/>
    <w:rsid w:val="00273EC9"/>
    <w:rsid w:val="00274D47"/>
    <w:rsid w:val="00274FCC"/>
    <w:rsid w:val="0028089C"/>
    <w:rsid w:val="002809DF"/>
    <w:rsid w:val="00282241"/>
    <w:rsid w:val="002832C3"/>
    <w:rsid w:val="00283306"/>
    <w:rsid w:val="00283EAE"/>
    <w:rsid w:val="00284F49"/>
    <w:rsid w:val="00285344"/>
    <w:rsid w:val="002866F3"/>
    <w:rsid w:val="00287236"/>
    <w:rsid w:val="00287DA2"/>
    <w:rsid w:val="00292C4F"/>
    <w:rsid w:val="00295CE9"/>
    <w:rsid w:val="002961D4"/>
    <w:rsid w:val="00296714"/>
    <w:rsid w:val="00297BE2"/>
    <w:rsid w:val="002A05AF"/>
    <w:rsid w:val="002A18E4"/>
    <w:rsid w:val="002A27B8"/>
    <w:rsid w:val="002A2E36"/>
    <w:rsid w:val="002A48B2"/>
    <w:rsid w:val="002A5C24"/>
    <w:rsid w:val="002A6D65"/>
    <w:rsid w:val="002A7047"/>
    <w:rsid w:val="002A7634"/>
    <w:rsid w:val="002A7743"/>
    <w:rsid w:val="002B2464"/>
    <w:rsid w:val="002B3F41"/>
    <w:rsid w:val="002B425F"/>
    <w:rsid w:val="002B602E"/>
    <w:rsid w:val="002B6411"/>
    <w:rsid w:val="002B777A"/>
    <w:rsid w:val="002B7C7C"/>
    <w:rsid w:val="002C05CF"/>
    <w:rsid w:val="002C19D4"/>
    <w:rsid w:val="002C4D02"/>
    <w:rsid w:val="002C50CB"/>
    <w:rsid w:val="002C6435"/>
    <w:rsid w:val="002C6948"/>
    <w:rsid w:val="002C71F3"/>
    <w:rsid w:val="002C7D59"/>
    <w:rsid w:val="002D3096"/>
    <w:rsid w:val="002D3DB5"/>
    <w:rsid w:val="002D52F8"/>
    <w:rsid w:val="002D5A61"/>
    <w:rsid w:val="002D5BEE"/>
    <w:rsid w:val="002D5EA1"/>
    <w:rsid w:val="002D6518"/>
    <w:rsid w:val="002D6F11"/>
    <w:rsid w:val="002D775E"/>
    <w:rsid w:val="002E1D7A"/>
    <w:rsid w:val="002E55F6"/>
    <w:rsid w:val="002E613C"/>
    <w:rsid w:val="002E70F4"/>
    <w:rsid w:val="002F03D7"/>
    <w:rsid w:val="002F091E"/>
    <w:rsid w:val="002F1A40"/>
    <w:rsid w:val="002F23BA"/>
    <w:rsid w:val="002F3B90"/>
    <w:rsid w:val="002F3D6A"/>
    <w:rsid w:val="002F43A9"/>
    <w:rsid w:val="002F44E2"/>
    <w:rsid w:val="002F4AFC"/>
    <w:rsid w:val="002F63C3"/>
    <w:rsid w:val="002F6929"/>
    <w:rsid w:val="003006B9"/>
    <w:rsid w:val="00300A52"/>
    <w:rsid w:val="0030331B"/>
    <w:rsid w:val="00303553"/>
    <w:rsid w:val="003037F8"/>
    <w:rsid w:val="003038E1"/>
    <w:rsid w:val="003041A9"/>
    <w:rsid w:val="00304FFC"/>
    <w:rsid w:val="003076C8"/>
    <w:rsid w:val="00307F4C"/>
    <w:rsid w:val="0031136C"/>
    <w:rsid w:val="0031272C"/>
    <w:rsid w:val="003133BC"/>
    <w:rsid w:val="003136A2"/>
    <w:rsid w:val="00313CDB"/>
    <w:rsid w:val="00313E41"/>
    <w:rsid w:val="00313F7E"/>
    <w:rsid w:val="00315357"/>
    <w:rsid w:val="003154AC"/>
    <w:rsid w:val="0031670A"/>
    <w:rsid w:val="00317634"/>
    <w:rsid w:val="003179CA"/>
    <w:rsid w:val="00321E19"/>
    <w:rsid w:val="0032205B"/>
    <w:rsid w:val="00322AFE"/>
    <w:rsid w:val="003253E6"/>
    <w:rsid w:val="0032777D"/>
    <w:rsid w:val="00327C97"/>
    <w:rsid w:val="00331503"/>
    <w:rsid w:val="00333223"/>
    <w:rsid w:val="00333CC6"/>
    <w:rsid w:val="00333DA3"/>
    <w:rsid w:val="0033472E"/>
    <w:rsid w:val="00336FA1"/>
    <w:rsid w:val="00336FDC"/>
    <w:rsid w:val="003379AD"/>
    <w:rsid w:val="003405B3"/>
    <w:rsid w:val="003413F9"/>
    <w:rsid w:val="00344DD3"/>
    <w:rsid w:val="00345DE4"/>
    <w:rsid w:val="0034653C"/>
    <w:rsid w:val="00346AF3"/>
    <w:rsid w:val="0035146C"/>
    <w:rsid w:val="00355146"/>
    <w:rsid w:val="003601B7"/>
    <w:rsid w:val="00362238"/>
    <w:rsid w:val="00370B02"/>
    <w:rsid w:val="00374444"/>
    <w:rsid w:val="003744C7"/>
    <w:rsid w:val="00375E7C"/>
    <w:rsid w:val="00376A2D"/>
    <w:rsid w:val="00377679"/>
    <w:rsid w:val="003801A5"/>
    <w:rsid w:val="0038080C"/>
    <w:rsid w:val="00382831"/>
    <w:rsid w:val="003829C6"/>
    <w:rsid w:val="00385D8F"/>
    <w:rsid w:val="0038724B"/>
    <w:rsid w:val="00390AA7"/>
    <w:rsid w:val="00391A85"/>
    <w:rsid w:val="003932B7"/>
    <w:rsid w:val="00393BD0"/>
    <w:rsid w:val="0039680D"/>
    <w:rsid w:val="00396FA1"/>
    <w:rsid w:val="0039791E"/>
    <w:rsid w:val="00397EC3"/>
    <w:rsid w:val="003A0FF5"/>
    <w:rsid w:val="003A105B"/>
    <w:rsid w:val="003A1291"/>
    <w:rsid w:val="003A1430"/>
    <w:rsid w:val="003A1FF2"/>
    <w:rsid w:val="003A4016"/>
    <w:rsid w:val="003A4890"/>
    <w:rsid w:val="003A5021"/>
    <w:rsid w:val="003A557C"/>
    <w:rsid w:val="003A56A8"/>
    <w:rsid w:val="003A6475"/>
    <w:rsid w:val="003A7820"/>
    <w:rsid w:val="003A7B16"/>
    <w:rsid w:val="003B10A8"/>
    <w:rsid w:val="003B1819"/>
    <w:rsid w:val="003B1FCC"/>
    <w:rsid w:val="003B558D"/>
    <w:rsid w:val="003B61C0"/>
    <w:rsid w:val="003B78F6"/>
    <w:rsid w:val="003C217D"/>
    <w:rsid w:val="003C3789"/>
    <w:rsid w:val="003C3BB0"/>
    <w:rsid w:val="003C5154"/>
    <w:rsid w:val="003C72A8"/>
    <w:rsid w:val="003C7F1B"/>
    <w:rsid w:val="003C7F95"/>
    <w:rsid w:val="003D100E"/>
    <w:rsid w:val="003D166D"/>
    <w:rsid w:val="003D2B27"/>
    <w:rsid w:val="003D3510"/>
    <w:rsid w:val="003D37B1"/>
    <w:rsid w:val="003D5142"/>
    <w:rsid w:val="003D53C1"/>
    <w:rsid w:val="003D68DD"/>
    <w:rsid w:val="003D7F00"/>
    <w:rsid w:val="003E1AE0"/>
    <w:rsid w:val="003E3C50"/>
    <w:rsid w:val="003E46FC"/>
    <w:rsid w:val="003E4D4A"/>
    <w:rsid w:val="003F224F"/>
    <w:rsid w:val="003F3EAF"/>
    <w:rsid w:val="003F6624"/>
    <w:rsid w:val="00400484"/>
    <w:rsid w:val="00402490"/>
    <w:rsid w:val="00403F3A"/>
    <w:rsid w:val="00404F8E"/>
    <w:rsid w:val="00406E55"/>
    <w:rsid w:val="00407A2C"/>
    <w:rsid w:val="00410208"/>
    <w:rsid w:val="0041077A"/>
    <w:rsid w:val="00410882"/>
    <w:rsid w:val="00411EDD"/>
    <w:rsid w:val="00411FDA"/>
    <w:rsid w:val="00412A6B"/>
    <w:rsid w:val="00413675"/>
    <w:rsid w:val="00414136"/>
    <w:rsid w:val="00414716"/>
    <w:rsid w:val="00416F26"/>
    <w:rsid w:val="004209FC"/>
    <w:rsid w:val="0042467E"/>
    <w:rsid w:val="004260D9"/>
    <w:rsid w:val="0043002A"/>
    <w:rsid w:val="004307A3"/>
    <w:rsid w:val="00430830"/>
    <w:rsid w:val="0043289C"/>
    <w:rsid w:val="00432C5A"/>
    <w:rsid w:val="004343E3"/>
    <w:rsid w:val="004346CA"/>
    <w:rsid w:val="0043478C"/>
    <w:rsid w:val="004368DA"/>
    <w:rsid w:val="0043775F"/>
    <w:rsid w:val="004379E6"/>
    <w:rsid w:val="00440C15"/>
    <w:rsid w:val="00445118"/>
    <w:rsid w:val="00445896"/>
    <w:rsid w:val="00446D93"/>
    <w:rsid w:val="004504EF"/>
    <w:rsid w:val="004516B6"/>
    <w:rsid w:val="00452326"/>
    <w:rsid w:val="004528A1"/>
    <w:rsid w:val="00452CB5"/>
    <w:rsid w:val="00455679"/>
    <w:rsid w:val="00455B93"/>
    <w:rsid w:val="00456311"/>
    <w:rsid w:val="00456B86"/>
    <w:rsid w:val="00460F05"/>
    <w:rsid w:val="00461B1E"/>
    <w:rsid w:val="00461D87"/>
    <w:rsid w:val="00464268"/>
    <w:rsid w:val="00464868"/>
    <w:rsid w:val="00464DB9"/>
    <w:rsid w:val="00470148"/>
    <w:rsid w:val="00470181"/>
    <w:rsid w:val="004712DA"/>
    <w:rsid w:val="004748C8"/>
    <w:rsid w:val="00474C96"/>
    <w:rsid w:val="00475CBA"/>
    <w:rsid w:val="00475D45"/>
    <w:rsid w:val="0047613F"/>
    <w:rsid w:val="004764A6"/>
    <w:rsid w:val="00476C01"/>
    <w:rsid w:val="00477AA6"/>
    <w:rsid w:val="00480FBC"/>
    <w:rsid w:val="004811B1"/>
    <w:rsid w:val="0048145F"/>
    <w:rsid w:val="00485D33"/>
    <w:rsid w:val="00486135"/>
    <w:rsid w:val="004865E7"/>
    <w:rsid w:val="00490B18"/>
    <w:rsid w:val="00493A91"/>
    <w:rsid w:val="004955DF"/>
    <w:rsid w:val="00496DF6"/>
    <w:rsid w:val="00497014"/>
    <w:rsid w:val="004970B1"/>
    <w:rsid w:val="004970D0"/>
    <w:rsid w:val="0049746A"/>
    <w:rsid w:val="004A08E9"/>
    <w:rsid w:val="004A09A5"/>
    <w:rsid w:val="004A3D04"/>
    <w:rsid w:val="004A5FDB"/>
    <w:rsid w:val="004A6548"/>
    <w:rsid w:val="004A73D1"/>
    <w:rsid w:val="004B0B6E"/>
    <w:rsid w:val="004B2164"/>
    <w:rsid w:val="004B2FE2"/>
    <w:rsid w:val="004B4AA5"/>
    <w:rsid w:val="004B5BEA"/>
    <w:rsid w:val="004B7FF7"/>
    <w:rsid w:val="004C0591"/>
    <w:rsid w:val="004C27E4"/>
    <w:rsid w:val="004C3511"/>
    <w:rsid w:val="004C78FC"/>
    <w:rsid w:val="004D41EC"/>
    <w:rsid w:val="004D6535"/>
    <w:rsid w:val="004E0709"/>
    <w:rsid w:val="004E5AF4"/>
    <w:rsid w:val="004E6816"/>
    <w:rsid w:val="004E68EA"/>
    <w:rsid w:val="004E7553"/>
    <w:rsid w:val="004E7987"/>
    <w:rsid w:val="004F0475"/>
    <w:rsid w:val="004F0951"/>
    <w:rsid w:val="004F138A"/>
    <w:rsid w:val="004F3B13"/>
    <w:rsid w:val="004F59A9"/>
    <w:rsid w:val="004F66A0"/>
    <w:rsid w:val="004F6D2A"/>
    <w:rsid w:val="004F7174"/>
    <w:rsid w:val="005003B7"/>
    <w:rsid w:val="00500A2D"/>
    <w:rsid w:val="00500FAB"/>
    <w:rsid w:val="00501CB5"/>
    <w:rsid w:val="00502757"/>
    <w:rsid w:val="00502F09"/>
    <w:rsid w:val="005059A2"/>
    <w:rsid w:val="00507817"/>
    <w:rsid w:val="0051262A"/>
    <w:rsid w:val="0051278C"/>
    <w:rsid w:val="0051365F"/>
    <w:rsid w:val="005148E4"/>
    <w:rsid w:val="00515437"/>
    <w:rsid w:val="0051733C"/>
    <w:rsid w:val="005178A9"/>
    <w:rsid w:val="005219C6"/>
    <w:rsid w:val="00521B37"/>
    <w:rsid w:val="00522F69"/>
    <w:rsid w:val="00523151"/>
    <w:rsid w:val="0052334F"/>
    <w:rsid w:val="00523A25"/>
    <w:rsid w:val="00523EC8"/>
    <w:rsid w:val="005244CC"/>
    <w:rsid w:val="00526AFB"/>
    <w:rsid w:val="005273B4"/>
    <w:rsid w:val="00527D02"/>
    <w:rsid w:val="0053011F"/>
    <w:rsid w:val="005325D6"/>
    <w:rsid w:val="00533663"/>
    <w:rsid w:val="00533E31"/>
    <w:rsid w:val="005340B7"/>
    <w:rsid w:val="005346BA"/>
    <w:rsid w:val="00534F2A"/>
    <w:rsid w:val="005353C1"/>
    <w:rsid w:val="00535FAC"/>
    <w:rsid w:val="0053755C"/>
    <w:rsid w:val="00537AF9"/>
    <w:rsid w:val="005403A7"/>
    <w:rsid w:val="00541EE6"/>
    <w:rsid w:val="00542E6C"/>
    <w:rsid w:val="005436DF"/>
    <w:rsid w:val="00545324"/>
    <w:rsid w:val="00546F8C"/>
    <w:rsid w:val="0055168B"/>
    <w:rsid w:val="00551992"/>
    <w:rsid w:val="00555491"/>
    <w:rsid w:val="00555BA4"/>
    <w:rsid w:val="0056186B"/>
    <w:rsid w:val="0056218B"/>
    <w:rsid w:val="005707EA"/>
    <w:rsid w:val="00570834"/>
    <w:rsid w:val="005718B8"/>
    <w:rsid w:val="00572B61"/>
    <w:rsid w:val="0057374F"/>
    <w:rsid w:val="00573872"/>
    <w:rsid w:val="00573B7F"/>
    <w:rsid w:val="00573CC6"/>
    <w:rsid w:val="00573E95"/>
    <w:rsid w:val="00574E4D"/>
    <w:rsid w:val="00574ED7"/>
    <w:rsid w:val="0058116C"/>
    <w:rsid w:val="0058247B"/>
    <w:rsid w:val="00582F8A"/>
    <w:rsid w:val="005844AC"/>
    <w:rsid w:val="00584C74"/>
    <w:rsid w:val="005858DE"/>
    <w:rsid w:val="005905F9"/>
    <w:rsid w:val="00590F7D"/>
    <w:rsid w:val="005913AA"/>
    <w:rsid w:val="005916C7"/>
    <w:rsid w:val="0059369E"/>
    <w:rsid w:val="00594565"/>
    <w:rsid w:val="0059555D"/>
    <w:rsid w:val="005967D7"/>
    <w:rsid w:val="00596BD7"/>
    <w:rsid w:val="005976CE"/>
    <w:rsid w:val="005A08BB"/>
    <w:rsid w:val="005A2EB1"/>
    <w:rsid w:val="005A33C6"/>
    <w:rsid w:val="005A4D4C"/>
    <w:rsid w:val="005A5522"/>
    <w:rsid w:val="005A5A93"/>
    <w:rsid w:val="005A69F4"/>
    <w:rsid w:val="005A6EF6"/>
    <w:rsid w:val="005A6F3E"/>
    <w:rsid w:val="005B335F"/>
    <w:rsid w:val="005B4921"/>
    <w:rsid w:val="005B4B36"/>
    <w:rsid w:val="005B4BFC"/>
    <w:rsid w:val="005B5352"/>
    <w:rsid w:val="005B54D2"/>
    <w:rsid w:val="005B5863"/>
    <w:rsid w:val="005B70C5"/>
    <w:rsid w:val="005C086C"/>
    <w:rsid w:val="005C08A4"/>
    <w:rsid w:val="005C0CC5"/>
    <w:rsid w:val="005C2FE6"/>
    <w:rsid w:val="005C3DA0"/>
    <w:rsid w:val="005C44EB"/>
    <w:rsid w:val="005D2BD4"/>
    <w:rsid w:val="005D3D2B"/>
    <w:rsid w:val="005D67C5"/>
    <w:rsid w:val="005E08D2"/>
    <w:rsid w:val="005E1713"/>
    <w:rsid w:val="005E4668"/>
    <w:rsid w:val="005E5334"/>
    <w:rsid w:val="005E749F"/>
    <w:rsid w:val="005F03F9"/>
    <w:rsid w:val="005F0CDF"/>
    <w:rsid w:val="005F1468"/>
    <w:rsid w:val="005F2688"/>
    <w:rsid w:val="005F3272"/>
    <w:rsid w:val="005F4206"/>
    <w:rsid w:val="005F49C2"/>
    <w:rsid w:val="005F5C5D"/>
    <w:rsid w:val="005F6E6D"/>
    <w:rsid w:val="005F77D8"/>
    <w:rsid w:val="00601A4B"/>
    <w:rsid w:val="0060387E"/>
    <w:rsid w:val="00603B70"/>
    <w:rsid w:val="006079B5"/>
    <w:rsid w:val="00610667"/>
    <w:rsid w:val="00610719"/>
    <w:rsid w:val="006124CA"/>
    <w:rsid w:val="0061251D"/>
    <w:rsid w:val="00613208"/>
    <w:rsid w:val="006139A3"/>
    <w:rsid w:val="00614486"/>
    <w:rsid w:val="006148DF"/>
    <w:rsid w:val="0061551F"/>
    <w:rsid w:val="006171A1"/>
    <w:rsid w:val="006171EC"/>
    <w:rsid w:val="00620F96"/>
    <w:rsid w:val="006217F8"/>
    <w:rsid w:val="00621A61"/>
    <w:rsid w:val="006220AE"/>
    <w:rsid w:val="006262AF"/>
    <w:rsid w:val="0062799C"/>
    <w:rsid w:val="00631E46"/>
    <w:rsid w:val="00632784"/>
    <w:rsid w:val="00633476"/>
    <w:rsid w:val="00634980"/>
    <w:rsid w:val="0063665C"/>
    <w:rsid w:val="00640446"/>
    <w:rsid w:val="00643433"/>
    <w:rsid w:val="00644729"/>
    <w:rsid w:val="0064554F"/>
    <w:rsid w:val="00645A6B"/>
    <w:rsid w:val="0064616E"/>
    <w:rsid w:val="006473F8"/>
    <w:rsid w:val="006502DE"/>
    <w:rsid w:val="006509DD"/>
    <w:rsid w:val="00650AFE"/>
    <w:rsid w:val="00651B35"/>
    <w:rsid w:val="00652109"/>
    <w:rsid w:val="0065475C"/>
    <w:rsid w:val="00656B5A"/>
    <w:rsid w:val="00657720"/>
    <w:rsid w:val="0066029B"/>
    <w:rsid w:val="0066154D"/>
    <w:rsid w:val="0066303C"/>
    <w:rsid w:val="006632D8"/>
    <w:rsid w:val="006642EE"/>
    <w:rsid w:val="00666EDC"/>
    <w:rsid w:val="00667B96"/>
    <w:rsid w:val="00673799"/>
    <w:rsid w:val="00673997"/>
    <w:rsid w:val="00673C2E"/>
    <w:rsid w:val="0067479C"/>
    <w:rsid w:val="006755E1"/>
    <w:rsid w:val="00675CBF"/>
    <w:rsid w:val="00677BF4"/>
    <w:rsid w:val="006801B1"/>
    <w:rsid w:val="00681131"/>
    <w:rsid w:val="00681B82"/>
    <w:rsid w:val="0068406F"/>
    <w:rsid w:val="00686230"/>
    <w:rsid w:val="00687903"/>
    <w:rsid w:val="00687AD4"/>
    <w:rsid w:val="00690391"/>
    <w:rsid w:val="006906EE"/>
    <w:rsid w:val="00690A65"/>
    <w:rsid w:val="00690A9D"/>
    <w:rsid w:val="00692730"/>
    <w:rsid w:val="00693CE5"/>
    <w:rsid w:val="00693F29"/>
    <w:rsid w:val="00695932"/>
    <w:rsid w:val="00696674"/>
    <w:rsid w:val="00696EC0"/>
    <w:rsid w:val="00697ED8"/>
    <w:rsid w:val="00697F1C"/>
    <w:rsid w:val="006A18F0"/>
    <w:rsid w:val="006A2A21"/>
    <w:rsid w:val="006A3FB6"/>
    <w:rsid w:val="006A438F"/>
    <w:rsid w:val="006A4691"/>
    <w:rsid w:val="006A53EF"/>
    <w:rsid w:val="006B05C3"/>
    <w:rsid w:val="006B09AE"/>
    <w:rsid w:val="006B1344"/>
    <w:rsid w:val="006B1705"/>
    <w:rsid w:val="006B292D"/>
    <w:rsid w:val="006B4C40"/>
    <w:rsid w:val="006B50C0"/>
    <w:rsid w:val="006B6E52"/>
    <w:rsid w:val="006C0260"/>
    <w:rsid w:val="006C12EF"/>
    <w:rsid w:val="006C1423"/>
    <w:rsid w:val="006C321C"/>
    <w:rsid w:val="006C4B60"/>
    <w:rsid w:val="006C6842"/>
    <w:rsid w:val="006D0086"/>
    <w:rsid w:val="006D0140"/>
    <w:rsid w:val="006D17F2"/>
    <w:rsid w:val="006D2651"/>
    <w:rsid w:val="006D327B"/>
    <w:rsid w:val="006D429D"/>
    <w:rsid w:val="006D54D7"/>
    <w:rsid w:val="006D57BA"/>
    <w:rsid w:val="006D663D"/>
    <w:rsid w:val="006D667A"/>
    <w:rsid w:val="006D70AF"/>
    <w:rsid w:val="006D7391"/>
    <w:rsid w:val="006E0FF4"/>
    <w:rsid w:val="006E1927"/>
    <w:rsid w:val="006E198D"/>
    <w:rsid w:val="006E1B3B"/>
    <w:rsid w:val="006E3076"/>
    <w:rsid w:val="006E3E5F"/>
    <w:rsid w:val="006E42F7"/>
    <w:rsid w:val="006E5308"/>
    <w:rsid w:val="006E5432"/>
    <w:rsid w:val="006E59FD"/>
    <w:rsid w:val="006E7575"/>
    <w:rsid w:val="006E76C0"/>
    <w:rsid w:val="006F20AA"/>
    <w:rsid w:val="006F266D"/>
    <w:rsid w:val="006F3EFB"/>
    <w:rsid w:val="006F7127"/>
    <w:rsid w:val="007029E8"/>
    <w:rsid w:val="007042A4"/>
    <w:rsid w:val="007043B6"/>
    <w:rsid w:val="00704586"/>
    <w:rsid w:val="00704F3C"/>
    <w:rsid w:val="007053EA"/>
    <w:rsid w:val="00707A50"/>
    <w:rsid w:val="00707F87"/>
    <w:rsid w:val="00710C25"/>
    <w:rsid w:val="00711A77"/>
    <w:rsid w:val="007124A5"/>
    <w:rsid w:val="007138C0"/>
    <w:rsid w:val="00715A71"/>
    <w:rsid w:val="00715B45"/>
    <w:rsid w:val="00715F00"/>
    <w:rsid w:val="0071764B"/>
    <w:rsid w:val="00717CBA"/>
    <w:rsid w:val="0072263D"/>
    <w:rsid w:val="00723C76"/>
    <w:rsid w:val="007246EE"/>
    <w:rsid w:val="00725BF7"/>
    <w:rsid w:val="00725F83"/>
    <w:rsid w:val="007268B1"/>
    <w:rsid w:val="00731700"/>
    <w:rsid w:val="0073201D"/>
    <w:rsid w:val="007321C3"/>
    <w:rsid w:val="007322AB"/>
    <w:rsid w:val="00732CE9"/>
    <w:rsid w:val="007333A0"/>
    <w:rsid w:val="007336E9"/>
    <w:rsid w:val="00733C4F"/>
    <w:rsid w:val="00734085"/>
    <w:rsid w:val="007342D9"/>
    <w:rsid w:val="007355F9"/>
    <w:rsid w:val="00735A0E"/>
    <w:rsid w:val="00740BAE"/>
    <w:rsid w:val="007424F5"/>
    <w:rsid w:val="007433F7"/>
    <w:rsid w:val="00743CAA"/>
    <w:rsid w:val="0074482D"/>
    <w:rsid w:val="007448A8"/>
    <w:rsid w:val="007456A2"/>
    <w:rsid w:val="00746A08"/>
    <w:rsid w:val="00746EC4"/>
    <w:rsid w:val="00747421"/>
    <w:rsid w:val="007509CC"/>
    <w:rsid w:val="00752BEA"/>
    <w:rsid w:val="007538D0"/>
    <w:rsid w:val="00753A11"/>
    <w:rsid w:val="007544CA"/>
    <w:rsid w:val="00754FCF"/>
    <w:rsid w:val="00757F23"/>
    <w:rsid w:val="00763DC9"/>
    <w:rsid w:val="00764992"/>
    <w:rsid w:val="00764CBE"/>
    <w:rsid w:val="00765AF4"/>
    <w:rsid w:val="00767848"/>
    <w:rsid w:val="007678CA"/>
    <w:rsid w:val="007703D1"/>
    <w:rsid w:val="00770E3F"/>
    <w:rsid w:val="0077141C"/>
    <w:rsid w:val="00772217"/>
    <w:rsid w:val="00772615"/>
    <w:rsid w:val="00774ADA"/>
    <w:rsid w:val="00774F2C"/>
    <w:rsid w:val="00775E00"/>
    <w:rsid w:val="00780287"/>
    <w:rsid w:val="00781140"/>
    <w:rsid w:val="00782605"/>
    <w:rsid w:val="00783318"/>
    <w:rsid w:val="00783ACA"/>
    <w:rsid w:val="007853C5"/>
    <w:rsid w:val="00787A71"/>
    <w:rsid w:val="00787E75"/>
    <w:rsid w:val="0079123D"/>
    <w:rsid w:val="007926F1"/>
    <w:rsid w:val="0079434B"/>
    <w:rsid w:val="007951A8"/>
    <w:rsid w:val="007A13FB"/>
    <w:rsid w:val="007A1DB7"/>
    <w:rsid w:val="007A339D"/>
    <w:rsid w:val="007A3B05"/>
    <w:rsid w:val="007A49B1"/>
    <w:rsid w:val="007A51C2"/>
    <w:rsid w:val="007A6DE4"/>
    <w:rsid w:val="007A711D"/>
    <w:rsid w:val="007A7854"/>
    <w:rsid w:val="007A7ABF"/>
    <w:rsid w:val="007B581C"/>
    <w:rsid w:val="007C007B"/>
    <w:rsid w:val="007C05D3"/>
    <w:rsid w:val="007C0F53"/>
    <w:rsid w:val="007C2563"/>
    <w:rsid w:val="007C2639"/>
    <w:rsid w:val="007C2CE4"/>
    <w:rsid w:val="007C336C"/>
    <w:rsid w:val="007C36A9"/>
    <w:rsid w:val="007C62DF"/>
    <w:rsid w:val="007C6866"/>
    <w:rsid w:val="007C6992"/>
    <w:rsid w:val="007D0064"/>
    <w:rsid w:val="007D44C7"/>
    <w:rsid w:val="007D4BCD"/>
    <w:rsid w:val="007D5795"/>
    <w:rsid w:val="007D693E"/>
    <w:rsid w:val="007E413A"/>
    <w:rsid w:val="007E59D9"/>
    <w:rsid w:val="007E60B6"/>
    <w:rsid w:val="007E69B4"/>
    <w:rsid w:val="007E7EB2"/>
    <w:rsid w:val="007F0B6E"/>
    <w:rsid w:val="007F115F"/>
    <w:rsid w:val="007F11D7"/>
    <w:rsid w:val="007F20AB"/>
    <w:rsid w:val="007F20FA"/>
    <w:rsid w:val="007F3F5B"/>
    <w:rsid w:val="007F3FA2"/>
    <w:rsid w:val="007F505D"/>
    <w:rsid w:val="007F518A"/>
    <w:rsid w:val="007F60BD"/>
    <w:rsid w:val="007F64CA"/>
    <w:rsid w:val="007F67BD"/>
    <w:rsid w:val="00801A0E"/>
    <w:rsid w:val="008035D3"/>
    <w:rsid w:val="008039EC"/>
    <w:rsid w:val="0080474F"/>
    <w:rsid w:val="00804795"/>
    <w:rsid w:val="0080552B"/>
    <w:rsid w:val="00806520"/>
    <w:rsid w:val="00807395"/>
    <w:rsid w:val="00807E0F"/>
    <w:rsid w:val="0081304B"/>
    <w:rsid w:val="00813327"/>
    <w:rsid w:val="008157D0"/>
    <w:rsid w:val="00816751"/>
    <w:rsid w:val="008205A5"/>
    <w:rsid w:val="00820B2C"/>
    <w:rsid w:val="0082319F"/>
    <w:rsid w:val="0082548F"/>
    <w:rsid w:val="00826843"/>
    <w:rsid w:val="008300BE"/>
    <w:rsid w:val="00830BC5"/>
    <w:rsid w:val="00832A6E"/>
    <w:rsid w:val="008342CD"/>
    <w:rsid w:val="00834860"/>
    <w:rsid w:val="00834E09"/>
    <w:rsid w:val="00835C4C"/>
    <w:rsid w:val="00835EAE"/>
    <w:rsid w:val="008459A3"/>
    <w:rsid w:val="00851955"/>
    <w:rsid w:val="00852EDC"/>
    <w:rsid w:val="00853280"/>
    <w:rsid w:val="00854605"/>
    <w:rsid w:val="00854C94"/>
    <w:rsid w:val="00856AA0"/>
    <w:rsid w:val="00856E5A"/>
    <w:rsid w:val="008628FE"/>
    <w:rsid w:val="00863550"/>
    <w:rsid w:val="00863AD9"/>
    <w:rsid w:val="0086793F"/>
    <w:rsid w:val="0087054D"/>
    <w:rsid w:val="00872175"/>
    <w:rsid w:val="008746F1"/>
    <w:rsid w:val="008748CC"/>
    <w:rsid w:val="0087699E"/>
    <w:rsid w:val="00876D4C"/>
    <w:rsid w:val="0087712D"/>
    <w:rsid w:val="0087782C"/>
    <w:rsid w:val="008823A9"/>
    <w:rsid w:val="008824E7"/>
    <w:rsid w:val="00882C65"/>
    <w:rsid w:val="00883F3B"/>
    <w:rsid w:val="00884B6A"/>
    <w:rsid w:val="008870F6"/>
    <w:rsid w:val="008923F9"/>
    <w:rsid w:val="00892B37"/>
    <w:rsid w:val="00892F23"/>
    <w:rsid w:val="00893F9C"/>
    <w:rsid w:val="00894F0B"/>
    <w:rsid w:val="008A13BA"/>
    <w:rsid w:val="008A41CF"/>
    <w:rsid w:val="008A774C"/>
    <w:rsid w:val="008B09BC"/>
    <w:rsid w:val="008B1D07"/>
    <w:rsid w:val="008B3D87"/>
    <w:rsid w:val="008B4669"/>
    <w:rsid w:val="008B5ECE"/>
    <w:rsid w:val="008B7692"/>
    <w:rsid w:val="008B7F41"/>
    <w:rsid w:val="008C4AB9"/>
    <w:rsid w:val="008C4F62"/>
    <w:rsid w:val="008C552D"/>
    <w:rsid w:val="008C57F2"/>
    <w:rsid w:val="008C65EE"/>
    <w:rsid w:val="008C69E6"/>
    <w:rsid w:val="008C6C50"/>
    <w:rsid w:val="008C6EE0"/>
    <w:rsid w:val="008C71B0"/>
    <w:rsid w:val="008C7854"/>
    <w:rsid w:val="008C7C5E"/>
    <w:rsid w:val="008D058A"/>
    <w:rsid w:val="008D0F41"/>
    <w:rsid w:val="008D102E"/>
    <w:rsid w:val="008D135F"/>
    <w:rsid w:val="008D3578"/>
    <w:rsid w:val="008D3BDD"/>
    <w:rsid w:val="008D4FA9"/>
    <w:rsid w:val="008D519D"/>
    <w:rsid w:val="008D5590"/>
    <w:rsid w:val="008D5953"/>
    <w:rsid w:val="008D773F"/>
    <w:rsid w:val="008D7AE4"/>
    <w:rsid w:val="008D7E93"/>
    <w:rsid w:val="008E0B39"/>
    <w:rsid w:val="008E39C8"/>
    <w:rsid w:val="008E4F33"/>
    <w:rsid w:val="008E7B9A"/>
    <w:rsid w:val="008F0B90"/>
    <w:rsid w:val="008F2431"/>
    <w:rsid w:val="008F2974"/>
    <w:rsid w:val="008F4F3F"/>
    <w:rsid w:val="008F56C3"/>
    <w:rsid w:val="008F5F65"/>
    <w:rsid w:val="008F62A7"/>
    <w:rsid w:val="008F6735"/>
    <w:rsid w:val="008F7323"/>
    <w:rsid w:val="00904F3F"/>
    <w:rsid w:val="00905257"/>
    <w:rsid w:val="00906541"/>
    <w:rsid w:val="00910590"/>
    <w:rsid w:val="009120D6"/>
    <w:rsid w:val="00913401"/>
    <w:rsid w:val="00914B55"/>
    <w:rsid w:val="00915DEB"/>
    <w:rsid w:val="00920AAE"/>
    <w:rsid w:val="00922261"/>
    <w:rsid w:val="009233E2"/>
    <w:rsid w:val="00924935"/>
    <w:rsid w:val="00924E0B"/>
    <w:rsid w:val="00925226"/>
    <w:rsid w:val="00927196"/>
    <w:rsid w:val="009272E1"/>
    <w:rsid w:val="009275E4"/>
    <w:rsid w:val="00927E35"/>
    <w:rsid w:val="00927EB6"/>
    <w:rsid w:val="009307FF"/>
    <w:rsid w:val="00930D3F"/>
    <w:rsid w:val="00933CC0"/>
    <w:rsid w:val="00935106"/>
    <w:rsid w:val="00935880"/>
    <w:rsid w:val="009358F2"/>
    <w:rsid w:val="00942519"/>
    <w:rsid w:val="00943205"/>
    <w:rsid w:val="00944631"/>
    <w:rsid w:val="0094498B"/>
    <w:rsid w:val="0094544E"/>
    <w:rsid w:val="00946A22"/>
    <w:rsid w:val="00951B18"/>
    <w:rsid w:val="009547B3"/>
    <w:rsid w:val="009559F4"/>
    <w:rsid w:val="0095663A"/>
    <w:rsid w:val="00956B0D"/>
    <w:rsid w:val="00956C25"/>
    <w:rsid w:val="00960D42"/>
    <w:rsid w:val="00962BC2"/>
    <w:rsid w:val="00962E55"/>
    <w:rsid w:val="00964138"/>
    <w:rsid w:val="00971181"/>
    <w:rsid w:val="00973389"/>
    <w:rsid w:val="00976452"/>
    <w:rsid w:val="0098627D"/>
    <w:rsid w:val="00986645"/>
    <w:rsid w:val="00990103"/>
    <w:rsid w:val="00990ABA"/>
    <w:rsid w:val="00993F52"/>
    <w:rsid w:val="0099442F"/>
    <w:rsid w:val="00994981"/>
    <w:rsid w:val="00996C95"/>
    <w:rsid w:val="0099725C"/>
    <w:rsid w:val="00997E18"/>
    <w:rsid w:val="009A2B8E"/>
    <w:rsid w:val="009A339A"/>
    <w:rsid w:val="009A342A"/>
    <w:rsid w:val="009A375E"/>
    <w:rsid w:val="009A553C"/>
    <w:rsid w:val="009A582F"/>
    <w:rsid w:val="009A75E0"/>
    <w:rsid w:val="009A78AD"/>
    <w:rsid w:val="009A7DC2"/>
    <w:rsid w:val="009B049C"/>
    <w:rsid w:val="009B05FE"/>
    <w:rsid w:val="009B0A64"/>
    <w:rsid w:val="009B3AAB"/>
    <w:rsid w:val="009B42F1"/>
    <w:rsid w:val="009B4582"/>
    <w:rsid w:val="009B509D"/>
    <w:rsid w:val="009B6EC0"/>
    <w:rsid w:val="009B7503"/>
    <w:rsid w:val="009C03A7"/>
    <w:rsid w:val="009C07F5"/>
    <w:rsid w:val="009C0FC0"/>
    <w:rsid w:val="009C28CA"/>
    <w:rsid w:val="009C3A79"/>
    <w:rsid w:val="009C3B4E"/>
    <w:rsid w:val="009C4432"/>
    <w:rsid w:val="009C48F4"/>
    <w:rsid w:val="009C5692"/>
    <w:rsid w:val="009C5718"/>
    <w:rsid w:val="009C6DA0"/>
    <w:rsid w:val="009C7C71"/>
    <w:rsid w:val="009D0F96"/>
    <w:rsid w:val="009D129C"/>
    <w:rsid w:val="009D1AEA"/>
    <w:rsid w:val="009D1BCB"/>
    <w:rsid w:val="009D2019"/>
    <w:rsid w:val="009D2F9D"/>
    <w:rsid w:val="009D35CC"/>
    <w:rsid w:val="009D506A"/>
    <w:rsid w:val="009D58E8"/>
    <w:rsid w:val="009E067F"/>
    <w:rsid w:val="009E0DD8"/>
    <w:rsid w:val="009E15F2"/>
    <w:rsid w:val="009E1A07"/>
    <w:rsid w:val="009E3524"/>
    <w:rsid w:val="009E4332"/>
    <w:rsid w:val="009E523A"/>
    <w:rsid w:val="009E5262"/>
    <w:rsid w:val="009E5F2F"/>
    <w:rsid w:val="009E7EB4"/>
    <w:rsid w:val="009F068C"/>
    <w:rsid w:val="009F2EBE"/>
    <w:rsid w:val="009F4E92"/>
    <w:rsid w:val="009F551E"/>
    <w:rsid w:val="009F6232"/>
    <w:rsid w:val="009F75EE"/>
    <w:rsid w:val="00A00E5E"/>
    <w:rsid w:val="00A03636"/>
    <w:rsid w:val="00A0639C"/>
    <w:rsid w:val="00A06F12"/>
    <w:rsid w:val="00A07D34"/>
    <w:rsid w:val="00A10F1B"/>
    <w:rsid w:val="00A1242C"/>
    <w:rsid w:val="00A13688"/>
    <w:rsid w:val="00A136EA"/>
    <w:rsid w:val="00A144B9"/>
    <w:rsid w:val="00A1734C"/>
    <w:rsid w:val="00A2024F"/>
    <w:rsid w:val="00A2069A"/>
    <w:rsid w:val="00A20D15"/>
    <w:rsid w:val="00A20E60"/>
    <w:rsid w:val="00A2154F"/>
    <w:rsid w:val="00A21DC1"/>
    <w:rsid w:val="00A227A0"/>
    <w:rsid w:val="00A22B05"/>
    <w:rsid w:val="00A23CF5"/>
    <w:rsid w:val="00A254FE"/>
    <w:rsid w:val="00A256D7"/>
    <w:rsid w:val="00A262AD"/>
    <w:rsid w:val="00A2679E"/>
    <w:rsid w:val="00A26E59"/>
    <w:rsid w:val="00A33797"/>
    <w:rsid w:val="00A34972"/>
    <w:rsid w:val="00A370BC"/>
    <w:rsid w:val="00A40181"/>
    <w:rsid w:val="00A41C3F"/>
    <w:rsid w:val="00A41ED4"/>
    <w:rsid w:val="00A4595D"/>
    <w:rsid w:val="00A460F2"/>
    <w:rsid w:val="00A507B4"/>
    <w:rsid w:val="00A51762"/>
    <w:rsid w:val="00A51FE8"/>
    <w:rsid w:val="00A5251E"/>
    <w:rsid w:val="00A54CCA"/>
    <w:rsid w:val="00A551AA"/>
    <w:rsid w:val="00A553F0"/>
    <w:rsid w:val="00A563E3"/>
    <w:rsid w:val="00A56BD4"/>
    <w:rsid w:val="00A56D32"/>
    <w:rsid w:val="00A56DD2"/>
    <w:rsid w:val="00A56FBF"/>
    <w:rsid w:val="00A572F8"/>
    <w:rsid w:val="00A615DC"/>
    <w:rsid w:val="00A616BB"/>
    <w:rsid w:val="00A61D27"/>
    <w:rsid w:val="00A620E1"/>
    <w:rsid w:val="00A643B3"/>
    <w:rsid w:val="00A64BDB"/>
    <w:rsid w:val="00A64E2A"/>
    <w:rsid w:val="00A6673C"/>
    <w:rsid w:val="00A671DD"/>
    <w:rsid w:val="00A6792D"/>
    <w:rsid w:val="00A70170"/>
    <w:rsid w:val="00A72B98"/>
    <w:rsid w:val="00A72DF0"/>
    <w:rsid w:val="00A734C1"/>
    <w:rsid w:val="00A73D62"/>
    <w:rsid w:val="00A769D5"/>
    <w:rsid w:val="00A76EFD"/>
    <w:rsid w:val="00A77C35"/>
    <w:rsid w:val="00A809F5"/>
    <w:rsid w:val="00A81115"/>
    <w:rsid w:val="00A82B35"/>
    <w:rsid w:val="00A8381E"/>
    <w:rsid w:val="00A84E0B"/>
    <w:rsid w:val="00A84E7B"/>
    <w:rsid w:val="00A8626D"/>
    <w:rsid w:val="00A869F7"/>
    <w:rsid w:val="00A86F33"/>
    <w:rsid w:val="00A8730D"/>
    <w:rsid w:val="00A87FEC"/>
    <w:rsid w:val="00A92EC8"/>
    <w:rsid w:val="00A93389"/>
    <w:rsid w:val="00A93B49"/>
    <w:rsid w:val="00A954A7"/>
    <w:rsid w:val="00A95583"/>
    <w:rsid w:val="00AA0152"/>
    <w:rsid w:val="00AA0629"/>
    <w:rsid w:val="00AA1302"/>
    <w:rsid w:val="00AA1A6A"/>
    <w:rsid w:val="00AA33D2"/>
    <w:rsid w:val="00AA34EF"/>
    <w:rsid w:val="00AA4949"/>
    <w:rsid w:val="00AA49D9"/>
    <w:rsid w:val="00AA5829"/>
    <w:rsid w:val="00AA75F1"/>
    <w:rsid w:val="00AB13EC"/>
    <w:rsid w:val="00AB2522"/>
    <w:rsid w:val="00AB3801"/>
    <w:rsid w:val="00AB411C"/>
    <w:rsid w:val="00AB5914"/>
    <w:rsid w:val="00AB69DF"/>
    <w:rsid w:val="00AB6D32"/>
    <w:rsid w:val="00AC0ACA"/>
    <w:rsid w:val="00AC3EEB"/>
    <w:rsid w:val="00AC4F68"/>
    <w:rsid w:val="00AC6F41"/>
    <w:rsid w:val="00AC7D7A"/>
    <w:rsid w:val="00AD1E28"/>
    <w:rsid w:val="00AD2984"/>
    <w:rsid w:val="00AD3640"/>
    <w:rsid w:val="00AD5F9A"/>
    <w:rsid w:val="00AD7FCB"/>
    <w:rsid w:val="00AE2EB5"/>
    <w:rsid w:val="00AE324B"/>
    <w:rsid w:val="00AE35BC"/>
    <w:rsid w:val="00AE4F2E"/>
    <w:rsid w:val="00AE5031"/>
    <w:rsid w:val="00AE5484"/>
    <w:rsid w:val="00AE7563"/>
    <w:rsid w:val="00AF1406"/>
    <w:rsid w:val="00AF2832"/>
    <w:rsid w:val="00AF2CE5"/>
    <w:rsid w:val="00AF339E"/>
    <w:rsid w:val="00AF5FF8"/>
    <w:rsid w:val="00AF60C4"/>
    <w:rsid w:val="00AF6E04"/>
    <w:rsid w:val="00B0075B"/>
    <w:rsid w:val="00B0166F"/>
    <w:rsid w:val="00B026FC"/>
    <w:rsid w:val="00B037FA"/>
    <w:rsid w:val="00B03F2F"/>
    <w:rsid w:val="00B05315"/>
    <w:rsid w:val="00B05A47"/>
    <w:rsid w:val="00B05ABE"/>
    <w:rsid w:val="00B062B6"/>
    <w:rsid w:val="00B0645A"/>
    <w:rsid w:val="00B06753"/>
    <w:rsid w:val="00B10416"/>
    <w:rsid w:val="00B10F4C"/>
    <w:rsid w:val="00B13846"/>
    <w:rsid w:val="00B1387E"/>
    <w:rsid w:val="00B14082"/>
    <w:rsid w:val="00B1451C"/>
    <w:rsid w:val="00B17336"/>
    <w:rsid w:val="00B219B7"/>
    <w:rsid w:val="00B23AB6"/>
    <w:rsid w:val="00B260FD"/>
    <w:rsid w:val="00B265D3"/>
    <w:rsid w:val="00B335F1"/>
    <w:rsid w:val="00B3418D"/>
    <w:rsid w:val="00B34DC6"/>
    <w:rsid w:val="00B35142"/>
    <w:rsid w:val="00B37BBD"/>
    <w:rsid w:val="00B37DB8"/>
    <w:rsid w:val="00B40DAC"/>
    <w:rsid w:val="00B42216"/>
    <w:rsid w:val="00B44FA8"/>
    <w:rsid w:val="00B46E2E"/>
    <w:rsid w:val="00B47CFC"/>
    <w:rsid w:val="00B5058F"/>
    <w:rsid w:val="00B53121"/>
    <w:rsid w:val="00B534FE"/>
    <w:rsid w:val="00B53C12"/>
    <w:rsid w:val="00B53C56"/>
    <w:rsid w:val="00B54875"/>
    <w:rsid w:val="00B55352"/>
    <w:rsid w:val="00B55961"/>
    <w:rsid w:val="00B55BCD"/>
    <w:rsid w:val="00B602BA"/>
    <w:rsid w:val="00B61B13"/>
    <w:rsid w:val="00B63483"/>
    <w:rsid w:val="00B6370B"/>
    <w:rsid w:val="00B6467C"/>
    <w:rsid w:val="00B65E12"/>
    <w:rsid w:val="00B704CB"/>
    <w:rsid w:val="00B71446"/>
    <w:rsid w:val="00B71EB5"/>
    <w:rsid w:val="00B7266A"/>
    <w:rsid w:val="00B72BAF"/>
    <w:rsid w:val="00B72C86"/>
    <w:rsid w:val="00B734F8"/>
    <w:rsid w:val="00B74B05"/>
    <w:rsid w:val="00B76011"/>
    <w:rsid w:val="00B76B55"/>
    <w:rsid w:val="00B85BA7"/>
    <w:rsid w:val="00B85C60"/>
    <w:rsid w:val="00B875CB"/>
    <w:rsid w:val="00B90C9D"/>
    <w:rsid w:val="00B90FDD"/>
    <w:rsid w:val="00B9140A"/>
    <w:rsid w:val="00B91EC1"/>
    <w:rsid w:val="00B924A1"/>
    <w:rsid w:val="00B929C8"/>
    <w:rsid w:val="00B93A40"/>
    <w:rsid w:val="00B93BEC"/>
    <w:rsid w:val="00B94AF1"/>
    <w:rsid w:val="00B96D0F"/>
    <w:rsid w:val="00B974E3"/>
    <w:rsid w:val="00BA0C61"/>
    <w:rsid w:val="00BA4A07"/>
    <w:rsid w:val="00BA4EBA"/>
    <w:rsid w:val="00BA765E"/>
    <w:rsid w:val="00BB0119"/>
    <w:rsid w:val="00BB075D"/>
    <w:rsid w:val="00BB1B0B"/>
    <w:rsid w:val="00BB27BC"/>
    <w:rsid w:val="00BB405D"/>
    <w:rsid w:val="00BB5E18"/>
    <w:rsid w:val="00BB6CE3"/>
    <w:rsid w:val="00BB7852"/>
    <w:rsid w:val="00BC332F"/>
    <w:rsid w:val="00BC743F"/>
    <w:rsid w:val="00BC7AA3"/>
    <w:rsid w:val="00BD3A00"/>
    <w:rsid w:val="00BD6E85"/>
    <w:rsid w:val="00BE01EA"/>
    <w:rsid w:val="00BE2C73"/>
    <w:rsid w:val="00BE363B"/>
    <w:rsid w:val="00BE365B"/>
    <w:rsid w:val="00BE4833"/>
    <w:rsid w:val="00BE4B42"/>
    <w:rsid w:val="00BE4D95"/>
    <w:rsid w:val="00BE5653"/>
    <w:rsid w:val="00BE6B91"/>
    <w:rsid w:val="00BF136F"/>
    <w:rsid w:val="00BF2F3C"/>
    <w:rsid w:val="00BF3792"/>
    <w:rsid w:val="00BF43FB"/>
    <w:rsid w:val="00BF5E80"/>
    <w:rsid w:val="00C028F2"/>
    <w:rsid w:val="00C0294C"/>
    <w:rsid w:val="00C045EB"/>
    <w:rsid w:val="00C06768"/>
    <w:rsid w:val="00C07198"/>
    <w:rsid w:val="00C1226C"/>
    <w:rsid w:val="00C1255A"/>
    <w:rsid w:val="00C12AF5"/>
    <w:rsid w:val="00C14544"/>
    <w:rsid w:val="00C16001"/>
    <w:rsid w:val="00C16674"/>
    <w:rsid w:val="00C16BAC"/>
    <w:rsid w:val="00C20710"/>
    <w:rsid w:val="00C21066"/>
    <w:rsid w:val="00C211C3"/>
    <w:rsid w:val="00C214E5"/>
    <w:rsid w:val="00C21E49"/>
    <w:rsid w:val="00C2368E"/>
    <w:rsid w:val="00C2434F"/>
    <w:rsid w:val="00C24456"/>
    <w:rsid w:val="00C249DD"/>
    <w:rsid w:val="00C25AE2"/>
    <w:rsid w:val="00C263B3"/>
    <w:rsid w:val="00C2662C"/>
    <w:rsid w:val="00C27E64"/>
    <w:rsid w:val="00C3042A"/>
    <w:rsid w:val="00C3110B"/>
    <w:rsid w:val="00C31172"/>
    <w:rsid w:val="00C3469B"/>
    <w:rsid w:val="00C34994"/>
    <w:rsid w:val="00C354C7"/>
    <w:rsid w:val="00C35C89"/>
    <w:rsid w:val="00C368C7"/>
    <w:rsid w:val="00C36F9B"/>
    <w:rsid w:val="00C370F0"/>
    <w:rsid w:val="00C40553"/>
    <w:rsid w:val="00C44673"/>
    <w:rsid w:val="00C45B65"/>
    <w:rsid w:val="00C4694D"/>
    <w:rsid w:val="00C47898"/>
    <w:rsid w:val="00C47F91"/>
    <w:rsid w:val="00C51EBD"/>
    <w:rsid w:val="00C530F4"/>
    <w:rsid w:val="00C53CE1"/>
    <w:rsid w:val="00C55D9A"/>
    <w:rsid w:val="00C560FB"/>
    <w:rsid w:val="00C56DA8"/>
    <w:rsid w:val="00C57068"/>
    <w:rsid w:val="00C607D8"/>
    <w:rsid w:val="00C6142E"/>
    <w:rsid w:val="00C6251B"/>
    <w:rsid w:val="00C63A3B"/>
    <w:rsid w:val="00C71035"/>
    <w:rsid w:val="00C718C7"/>
    <w:rsid w:val="00C71CCD"/>
    <w:rsid w:val="00C72C2E"/>
    <w:rsid w:val="00C7418A"/>
    <w:rsid w:val="00C74A83"/>
    <w:rsid w:val="00C74BF1"/>
    <w:rsid w:val="00C77CA6"/>
    <w:rsid w:val="00C80E3D"/>
    <w:rsid w:val="00C83B91"/>
    <w:rsid w:val="00C83D62"/>
    <w:rsid w:val="00C85B63"/>
    <w:rsid w:val="00C85F06"/>
    <w:rsid w:val="00C86FED"/>
    <w:rsid w:val="00C87466"/>
    <w:rsid w:val="00C90A88"/>
    <w:rsid w:val="00C90AAE"/>
    <w:rsid w:val="00C915B6"/>
    <w:rsid w:val="00C93CB3"/>
    <w:rsid w:val="00C93E64"/>
    <w:rsid w:val="00C93EEF"/>
    <w:rsid w:val="00C95A12"/>
    <w:rsid w:val="00C95AF4"/>
    <w:rsid w:val="00C96C41"/>
    <w:rsid w:val="00C971D3"/>
    <w:rsid w:val="00CA0141"/>
    <w:rsid w:val="00CA165E"/>
    <w:rsid w:val="00CA2B06"/>
    <w:rsid w:val="00CA5400"/>
    <w:rsid w:val="00CA54C7"/>
    <w:rsid w:val="00CA5600"/>
    <w:rsid w:val="00CA7B7B"/>
    <w:rsid w:val="00CB1A24"/>
    <w:rsid w:val="00CB2359"/>
    <w:rsid w:val="00CB273A"/>
    <w:rsid w:val="00CB33AE"/>
    <w:rsid w:val="00CB36E6"/>
    <w:rsid w:val="00CB3A36"/>
    <w:rsid w:val="00CB5064"/>
    <w:rsid w:val="00CB56F5"/>
    <w:rsid w:val="00CB5A3B"/>
    <w:rsid w:val="00CB60C4"/>
    <w:rsid w:val="00CB75C7"/>
    <w:rsid w:val="00CB79A3"/>
    <w:rsid w:val="00CC12D5"/>
    <w:rsid w:val="00CC3CF1"/>
    <w:rsid w:val="00CC3D14"/>
    <w:rsid w:val="00CC3DC5"/>
    <w:rsid w:val="00CC43CE"/>
    <w:rsid w:val="00CC4D7A"/>
    <w:rsid w:val="00CC6145"/>
    <w:rsid w:val="00CC685B"/>
    <w:rsid w:val="00CD0826"/>
    <w:rsid w:val="00CD221D"/>
    <w:rsid w:val="00CD2D1D"/>
    <w:rsid w:val="00CD35E4"/>
    <w:rsid w:val="00CD785D"/>
    <w:rsid w:val="00CE04E1"/>
    <w:rsid w:val="00CE3B5E"/>
    <w:rsid w:val="00CE53EE"/>
    <w:rsid w:val="00CE63D0"/>
    <w:rsid w:val="00CE65B9"/>
    <w:rsid w:val="00CE6C52"/>
    <w:rsid w:val="00CE747F"/>
    <w:rsid w:val="00CE760F"/>
    <w:rsid w:val="00CF1B08"/>
    <w:rsid w:val="00CF62C4"/>
    <w:rsid w:val="00CF67A1"/>
    <w:rsid w:val="00D003A0"/>
    <w:rsid w:val="00D006C9"/>
    <w:rsid w:val="00D029A3"/>
    <w:rsid w:val="00D02F09"/>
    <w:rsid w:val="00D04E1B"/>
    <w:rsid w:val="00D0500E"/>
    <w:rsid w:val="00D06B07"/>
    <w:rsid w:val="00D07795"/>
    <w:rsid w:val="00D10835"/>
    <w:rsid w:val="00D11064"/>
    <w:rsid w:val="00D1343B"/>
    <w:rsid w:val="00D156BB"/>
    <w:rsid w:val="00D167A9"/>
    <w:rsid w:val="00D17530"/>
    <w:rsid w:val="00D208FB"/>
    <w:rsid w:val="00D2096F"/>
    <w:rsid w:val="00D23A01"/>
    <w:rsid w:val="00D24080"/>
    <w:rsid w:val="00D26741"/>
    <w:rsid w:val="00D27AF6"/>
    <w:rsid w:val="00D30208"/>
    <w:rsid w:val="00D30C9B"/>
    <w:rsid w:val="00D3165E"/>
    <w:rsid w:val="00D31936"/>
    <w:rsid w:val="00D3303E"/>
    <w:rsid w:val="00D378FF"/>
    <w:rsid w:val="00D424E1"/>
    <w:rsid w:val="00D43310"/>
    <w:rsid w:val="00D43B32"/>
    <w:rsid w:val="00D453BF"/>
    <w:rsid w:val="00D47CE3"/>
    <w:rsid w:val="00D516B1"/>
    <w:rsid w:val="00D535F6"/>
    <w:rsid w:val="00D53AF5"/>
    <w:rsid w:val="00D54724"/>
    <w:rsid w:val="00D547DA"/>
    <w:rsid w:val="00D54A28"/>
    <w:rsid w:val="00D554D8"/>
    <w:rsid w:val="00D57816"/>
    <w:rsid w:val="00D6011C"/>
    <w:rsid w:val="00D60FAA"/>
    <w:rsid w:val="00D61D65"/>
    <w:rsid w:val="00D630B7"/>
    <w:rsid w:val="00D66115"/>
    <w:rsid w:val="00D7076F"/>
    <w:rsid w:val="00D70907"/>
    <w:rsid w:val="00D71093"/>
    <w:rsid w:val="00D720D0"/>
    <w:rsid w:val="00D74081"/>
    <w:rsid w:val="00D74742"/>
    <w:rsid w:val="00D758EA"/>
    <w:rsid w:val="00D76391"/>
    <w:rsid w:val="00D77706"/>
    <w:rsid w:val="00D77DE3"/>
    <w:rsid w:val="00D77FA8"/>
    <w:rsid w:val="00D80692"/>
    <w:rsid w:val="00D8108E"/>
    <w:rsid w:val="00D81666"/>
    <w:rsid w:val="00D81B7E"/>
    <w:rsid w:val="00D8258E"/>
    <w:rsid w:val="00D82A85"/>
    <w:rsid w:val="00D84A28"/>
    <w:rsid w:val="00D84FC0"/>
    <w:rsid w:val="00D85323"/>
    <w:rsid w:val="00D87421"/>
    <w:rsid w:val="00D8787F"/>
    <w:rsid w:val="00D91797"/>
    <w:rsid w:val="00D921BE"/>
    <w:rsid w:val="00D92C0E"/>
    <w:rsid w:val="00D930CA"/>
    <w:rsid w:val="00D9360B"/>
    <w:rsid w:val="00D94E12"/>
    <w:rsid w:val="00D95781"/>
    <w:rsid w:val="00D95C6C"/>
    <w:rsid w:val="00D967AB"/>
    <w:rsid w:val="00D97300"/>
    <w:rsid w:val="00D97EB1"/>
    <w:rsid w:val="00DA1076"/>
    <w:rsid w:val="00DA2796"/>
    <w:rsid w:val="00DA3814"/>
    <w:rsid w:val="00DA4137"/>
    <w:rsid w:val="00DA62F3"/>
    <w:rsid w:val="00DA7182"/>
    <w:rsid w:val="00DB1302"/>
    <w:rsid w:val="00DB15ED"/>
    <w:rsid w:val="00DB544F"/>
    <w:rsid w:val="00DB55FD"/>
    <w:rsid w:val="00DB67CB"/>
    <w:rsid w:val="00DB7878"/>
    <w:rsid w:val="00DC0622"/>
    <w:rsid w:val="00DC08C7"/>
    <w:rsid w:val="00DC19EC"/>
    <w:rsid w:val="00DC1D08"/>
    <w:rsid w:val="00DC38CE"/>
    <w:rsid w:val="00DC406A"/>
    <w:rsid w:val="00DC5C6B"/>
    <w:rsid w:val="00DD32DB"/>
    <w:rsid w:val="00DD3A55"/>
    <w:rsid w:val="00DD3BE4"/>
    <w:rsid w:val="00DD4600"/>
    <w:rsid w:val="00DD524E"/>
    <w:rsid w:val="00DD5700"/>
    <w:rsid w:val="00DE33C9"/>
    <w:rsid w:val="00DE417B"/>
    <w:rsid w:val="00DE47A0"/>
    <w:rsid w:val="00DE4901"/>
    <w:rsid w:val="00DE53DB"/>
    <w:rsid w:val="00DE5921"/>
    <w:rsid w:val="00DE59B2"/>
    <w:rsid w:val="00DE7E22"/>
    <w:rsid w:val="00DF19A7"/>
    <w:rsid w:val="00DF357E"/>
    <w:rsid w:val="00DF38E5"/>
    <w:rsid w:val="00DF443A"/>
    <w:rsid w:val="00DF4ECE"/>
    <w:rsid w:val="00DF510E"/>
    <w:rsid w:val="00DF6D1B"/>
    <w:rsid w:val="00E020FC"/>
    <w:rsid w:val="00E038C0"/>
    <w:rsid w:val="00E105D1"/>
    <w:rsid w:val="00E1134C"/>
    <w:rsid w:val="00E11986"/>
    <w:rsid w:val="00E12ECD"/>
    <w:rsid w:val="00E138AC"/>
    <w:rsid w:val="00E14ECA"/>
    <w:rsid w:val="00E15C01"/>
    <w:rsid w:val="00E164FA"/>
    <w:rsid w:val="00E205E1"/>
    <w:rsid w:val="00E22E60"/>
    <w:rsid w:val="00E2404C"/>
    <w:rsid w:val="00E26BE3"/>
    <w:rsid w:val="00E26BF5"/>
    <w:rsid w:val="00E30CA0"/>
    <w:rsid w:val="00E31F38"/>
    <w:rsid w:val="00E32A4F"/>
    <w:rsid w:val="00E3400B"/>
    <w:rsid w:val="00E408B8"/>
    <w:rsid w:val="00E40BD7"/>
    <w:rsid w:val="00E41DF9"/>
    <w:rsid w:val="00E433D1"/>
    <w:rsid w:val="00E44FF6"/>
    <w:rsid w:val="00E45086"/>
    <w:rsid w:val="00E4515E"/>
    <w:rsid w:val="00E45CE4"/>
    <w:rsid w:val="00E5052E"/>
    <w:rsid w:val="00E55092"/>
    <w:rsid w:val="00E55177"/>
    <w:rsid w:val="00E5586E"/>
    <w:rsid w:val="00E567A8"/>
    <w:rsid w:val="00E571AC"/>
    <w:rsid w:val="00E60694"/>
    <w:rsid w:val="00E632F2"/>
    <w:rsid w:val="00E6332C"/>
    <w:rsid w:val="00E65613"/>
    <w:rsid w:val="00E672BB"/>
    <w:rsid w:val="00E70581"/>
    <w:rsid w:val="00E70A60"/>
    <w:rsid w:val="00E71B43"/>
    <w:rsid w:val="00E726CD"/>
    <w:rsid w:val="00E72C90"/>
    <w:rsid w:val="00E739B7"/>
    <w:rsid w:val="00E76004"/>
    <w:rsid w:val="00E77FFC"/>
    <w:rsid w:val="00E8129B"/>
    <w:rsid w:val="00E814DA"/>
    <w:rsid w:val="00E830AC"/>
    <w:rsid w:val="00E83200"/>
    <w:rsid w:val="00E838B8"/>
    <w:rsid w:val="00E8528D"/>
    <w:rsid w:val="00E862F5"/>
    <w:rsid w:val="00E86395"/>
    <w:rsid w:val="00E8645C"/>
    <w:rsid w:val="00E87130"/>
    <w:rsid w:val="00E873D4"/>
    <w:rsid w:val="00E874A4"/>
    <w:rsid w:val="00E8764F"/>
    <w:rsid w:val="00E91888"/>
    <w:rsid w:val="00E9222A"/>
    <w:rsid w:val="00E9265F"/>
    <w:rsid w:val="00E92679"/>
    <w:rsid w:val="00E92956"/>
    <w:rsid w:val="00E93BEF"/>
    <w:rsid w:val="00E93D52"/>
    <w:rsid w:val="00E9466A"/>
    <w:rsid w:val="00E95E12"/>
    <w:rsid w:val="00E95EFC"/>
    <w:rsid w:val="00E96568"/>
    <w:rsid w:val="00E96BBE"/>
    <w:rsid w:val="00E96DDC"/>
    <w:rsid w:val="00E97F7F"/>
    <w:rsid w:val="00EA05D8"/>
    <w:rsid w:val="00EA0808"/>
    <w:rsid w:val="00EA08E5"/>
    <w:rsid w:val="00EA3B3C"/>
    <w:rsid w:val="00EA5BB7"/>
    <w:rsid w:val="00EA601E"/>
    <w:rsid w:val="00EA6816"/>
    <w:rsid w:val="00EA6EB4"/>
    <w:rsid w:val="00EB056F"/>
    <w:rsid w:val="00EB4C48"/>
    <w:rsid w:val="00EB5551"/>
    <w:rsid w:val="00EB5C7D"/>
    <w:rsid w:val="00EB6F0B"/>
    <w:rsid w:val="00EC1697"/>
    <w:rsid w:val="00EC31EB"/>
    <w:rsid w:val="00EC383A"/>
    <w:rsid w:val="00EC39AC"/>
    <w:rsid w:val="00EC5B5B"/>
    <w:rsid w:val="00EC5DB5"/>
    <w:rsid w:val="00EC68BF"/>
    <w:rsid w:val="00EC73D7"/>
    <w:rsid w:val="00EC76B2"/>
    <w:rsid w:val="00EC7FB2"/>
    <w:rsid w:val="00ED1707"/>
    <w:rsid w:val="00ED20E0"/>
    <w:rsid w:val="00ED31B4"/>
    <w:rsid w:val="00ED390B"/>
    <w:rsid w:val="00ED5997"/>
    <w:rsid w:val="00ED73C0"/>
    <w:rsid w:val="00EE1553"/>
    <w:rsid w:val="00EE158C"/>
    <w:rsid w:val="00EE1950"/>
    <w:rsid w:val="00EE1B43"/>
    <w:rsid w:val="00EE58B6"/>
    <w:rsid w:val="00EE5B1C"/>
    <w:rsid w:val="00EE5C3D"/>
    <w:rsid w:val="00EE66F3"/>
    <w:rsid w:val="00EE6DE0"/>
    <w:rsid w:val="00EE6E50"/>
    <w:rsid w:val="00EF080C"/>
    <w:rsid w:val="00EF08CE"/>
    <w:rsid w:val="00EF1EAB"/>
    <w:rsid w:val="00EF5311"/>
    <w:rsid w:val="00EF6E37"/>
    <w:rsid w:val="00EF7669"/>
    <w:rsid w:val="00F018F9"/>
    <w:rsid w:val="00F02C4B"/>
    <w:rsid w:val="00F03144"/>
    <w:rsid w:val="00F04A55"/>
    <w:rsid w:val="00F05807"/>
    <w:rsid w:val="00F065A5"/>
    <w:rsid w:val="00F10226"/>
    <w:rsid w:val="00F10838"/>
    <w:rsid w:val="00F11727"/>
    <w:rsid w:val="00F11A25"/>
    <w:rsid w:val="00F12881"/>
    <w:rsid w:val="00F129DD"/>
    <w:rsid w:val="00F149E1"/>
    <w:rsid w:val="00F14CBB"/>
    <w:rsid w:val="00F1510D"/>
    <w:rsid w:val="00F169DE"/>
    <w:rsid w:val="00F17442"/>
    <w:rsid w:val="00F177E6"/>
    <w:rsid w:val="00F178C7"/>
    <w:rsid w:val="00F20F7B"/>
    <w:rsid w:val="00F2327E"/>
    <w:rsid w:val="00F24FB2"/>
    <w:rsid w:val="00F25DC3"/>
    <w:rsid w:val="00F26FDC"/>
    <w:rsid w:val="00F301B6"/>
    <w:rsid w:val="00F30DC1"/>
    <w:rsid w:val="00F330C0"/>
    <w:rsid w:val="00F33283"/>
    <w:rsid w:val="00F33F07"/>
    <w:rsid w:val="00F346E3"/>
    <w:rsid w:val="00F34CDC"/>
    <w:rsid w:val="00F35753"/>
    <w:rsid w:val="00F35FB9"/>
    <w:rsid w:val="00F37E60"/>
    <w:rsid w:val="00F42340"/>
    <w:rsid w:val="00F427BB"/>
    <w:rsid w:val="00F43E9F"/>
    <w:rsid w:val="00F44BA0"/>
    <w:rsid w:val="00F45D40"/>
    <w:rsid w:val="00F465D2"/>
    <w:rsid w:val="00F46F7F"/>
    <w:rsid w:val="00F4751E"/>
    <w:rsid w:val="00F47992"/>
    <w:rsid w:val="00F501F0"/>
    <w:rsid w:val="00F506CD"/>
    <w:rsid w:val="00F50AF2"/>
    <w:rsid w:val="00F514BD"/>
    <w:rsid w:val="00F537CD"/>
    <w:rsid w:val="00F541B2"/>
    <w:rsid w:val="00F542F0"/>
    <w:rsid w:val="00F56958"/>
    <w:rsid w:val="00F57D0C"/>
    <w:rsid w:val="00F602E4"/>
    <w:rsid w:val="00F608F8"/>
    <w:rsid w:val="00F6277E"/>
    <w:rsid w:val="00F63879"/>
    <w:rsid w:val="00F657EA"/>
    <w:rsid w:val="00F7058E"/>
    <w:rsid w:val="00F70A27"/>
    <w:rsid w:val="00F7150E"/>
    <w:rsid w:val="00F74257"/>
    <w:rsid w:val="00F76251"/>
    <w:rsid w:val="00F764A7"/>
    <w:rsid w:val="00F77ACE"/>
    <w:rsid w:val="00F818F1"/>
    <w:rsid w:val="00F81A70"/>
    <w:rsid w:val="00F81F5A"/>
    <w:rsid w:val="00F84939"/>
    <w:rsid w:val="00F86BDB"/>
    <w:rsid w:val="00F86FA3"/>
    <w:rsid w:val="00F90C9E"/>
    <w:rsid w:val="00F91A59"/>
    <w:rsid w:val="00F93683"/>
    <w:rsid w:val="00F9463A"/>
    <w:rsid w:val="00F946F4"/>
    <w:rsid w:val="00FA1371"/>
    <w:rsid w:val="00FA25ED"/>
    <w:rsid w:val="00FA3C56"/>
    <w:rsid w:val="00FA3E46"/>
    <w:rsid w:val="00FA56FF"/>
    <w:rsid w:val="00FA6875"/>
    <w:rsid w:val="00FA7193"/>
    <w:rsid w:val="00FA747E"/>
    <w:rsid w:val="00FA7E5F"/>
    <w:rsid w:val="00FB01B4"/>
    <w:rsid w:val="00FB0C0E"/>
    <w:rsid w:val="00FB3DB8"/>
    <w:rsid w:val="00FB4DD5"/>
    <w:rsid w:val="00FB6846"/>
    <w:rsid w:val="00FB7C69"/>
    <w:rsid w:val="00FC1890"/>
    <w:rsid w:val="00FC1AC3"/>
    <w:rsid w:val="00FC2351"/>
    <w:rsid w:val="00FC496D"/>
    <w:rsid w:val="00FC55F1"/>
    <w:rsid w:val="00FC5E29"/>
    <w:rsid w:val="00FC741F"/>
    <w:rsid w:val="00FD21D2"/>
    <w:rsid w:val="00FD2C0E"/>
    <w:rsid w:val="00FD5609"/>
    <w:rsid w:val="00FD5E7C"/>
    <w:rsid w:val="00FE1F48"/>
    <w:rsid w:val="00FE25E2"/>
    <w:rsid w:val="00FE2EDF"/>
    <w:rsid w:val="00FE3E8E"/>
    <w:rsid w:val="00FE587F"/>
    <w:rsid w:val="00FE6150"/>
    <w:rsid w:val="00FE697D"/>
    <w:rsid w:val="00FF0BDF"/>
    <w:rsid w:val="00FF2FC7"/>
    <w:rsid w:val="00FF635A"/>
    <w:rsid w:val="00FF7824"/>
    <w:rsid w:val="14860E00"/>
    <w:rsid w:val="3DBDA61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4BA16"/>
  <w15:docId w15:val="{2F5B26A1-E52D-4020-B202-D057B42F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_Bullet"/>
    <w:basedOn w:val="Normal"/>
    <w:link w:val="ListParagraphChar"/>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 w:type="paragraph" w:styleId="Header">
    <w:name w:val="header"/>
    <w:basedOn w:val="Normal"/>
    <w:link w:val="HeaderChar"/>
    <w:uiPriority w:val="99"/>
    <w:unhideWhenUsed/>
    <w:rsid w:val="00283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C3"/>
    <w:rPr>
      <w:rFonts w:ascii="Calibri" w:eastAsia="Calibri" w:hAnsi="Calibri" w:cs="Times New Roman"/>
      <w:szCs w:val="22"/>
      <w:lang w:bidi="ar-SA"/>
    </w:rPr>
  </w:style>
  <w:style w:type="paragraph" w:styleId="Revision">
    <w:name w:val="Revision"/>
    <w:hidden/>
    <w:uiPriority w:val="99"/>
    <w:semiHidden/>
    <w:rsid w:val="00A144B9"/>
    <w:pPr>
      <w:spacing w:after="0" w:line="240" w:lineRule="auto"/>
    </w:pPr>
    <w:rPr>
      <w:rFonts w:ascii="Calibri" w:eastAsia="Calibri" w:hAnsi="Calibri" w:cs="Times New Roman"/>
      <w:szCs w:val="22"/>
      <w:lang w:bidi="ar-SA"/>
    </w:rPr>
  </w:style>
  <w:style w:type="character" w:styleId="CommentReference">
    <w:name w:val="annotation reference"/>
    <w:basedOn w:val="DefaultParagraphFont"/>
    <w:uiPriority w:val="99"/>
    <w:semiHidden/>
    <w:unhideWhenUsed/>
    <w:rsid w:val="006A53EF"/>
    <w:rPr>
      <w:sz w:val="16"/>
      <w:szCs w:val="16"/>
    </w:rPr>
  </w:style>
  <w:style w:type="paragraph" w:styleId="CommentText">
    <w:name w:val="annotation text"/>
    <w:basedOn w:val="Normal"/>
    <w:link w:val="CommentTextChar"/>
    <w:uiPriority w:val="99"/>
    <w:semiHidden/>
    <w:unhideWhenUsed/>
    <w:rsid w:val="006A53EF"/>
    <w:pPr>
      <w:spacing w:line="240" w:lineRule="auto"/>
    </w:pPr>
    <w:rPr>
      <w:sz w:val="20"/>
      <w:szCs w:val="20"/>
    </w:rPr>
  </w:style>
  <w:style w:type="character" w:customStyle="1" w:styleId="CommentTextChar">
    <w:name w:val="Comment Text Char"/>
    <w:basedOn w:val="DefaultParagraphFont"/>
    <w:link w:val="CommentText"/>
    <w:uiPriority w:val="99"/>
    <w:semiHidden/>
    <w:rsid w:val="006A53EF"/>
    <w:rPr>
      <w:rFonts w:ascii="Calibri" w:eastAsia="Calibri"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6A53EF"/>
    <w:rPr>
      <w:b/>
      <w:bCs/>
    </w:rPr>
  </w:style>
  <w:style w:type="character" w:customStyle="1" w:styleId="CommentSubjectChar">
    <w:name w:val="Comment Subject Char"/>
    <w:basedOn w:val="CommentTextChar"/>
    <w:link w:val="CommentSubject"/>
    <w:uiPriority w:val="99"/>
    <w:semiHidden/>
    <w:rsid w:val="006A53EF"/>
    <w:rPr>
      <w:rFonts w:ascii="Calibri" w:eastAsia="Calibri" w:hAnsi="Calibri" w:cs="Times New Roman"/>
      <w:b/>
      <w:bCs/>
      <w:sz w:val="20"/>
      <w:lang w:bidi="ar-SA"/>
    </w:rPr>
  </w:style>
  <w:style w:type="table" w:styleId="TableGrid">
    <w:name w:val="Table Grid"/>
    <w:basedOn w:val="TableNormal"/>
    <w:uiPriority w:val="39"/>
    <w:rsid w:val="00FA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6FC"/>
    <w:rPr>
      <w:rFonts w:ascii="Segoe UI" w:eastAsia="Calibri" w:hAnsi="Segoe UI" w:cs="Segoe UI"/>
      <w:sz w:val="18"/>
      <w:szCs w:val="18"/>
      <w:lang w:bidi="ar-SA"/>
    </w:rPr>
  </w:style>
  <w:style w:type="paragraph" w:styleId="NormalWeb">
    <w:name w:val="Normal (Web)"/>
    <w:basedOn w:val="Normal"/>
    <w:uiPriority w:val="99"/>
    <w:semiHidden/>
    <w:unhideWhenUsed/>
    <w:rsid w:val="00DE59B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E59B2"/>
    <w:rPr>
      <w:b/>
      <w:bCs/>
    </w:rPr>
  </w:style>
  <w:style w:type="paragraph" w:styleId="BodyText">
    <w:name w:val="Body Text"/>
    <w:basedOn w:val="Normal"/>
    <w:link w:val="BodyTextChar"/>
    <w:uiPriority w:val="1"/>
    <w:qFormat/>
    <w:rsid w:val="00DE59B2"/>
    <w:pPr>
      <w:autoSpaceDE w:val="0"/>
      <w:autoSpaceDN w:val="0"/>
      <w:adjustRightInd w:val="0"/>
      <w:spacing w:after="3" w:line="154" w:lineRule="exact"/>
      <w:ind w:right="1665"/>
      <w:jc w:val="right"/>
    </w:pPr>
    <w:rPr>
      <w:rFonts w:ascii="Times New Roman" w:eastAsiaTheme="minorHAnsi" w:hAnsi="Times New Roman"/>
      <w:b/>
      <w:bCs/>
    </w:rPr>
  </w:style>
  <w:style w:type="character" w:customStyle="1" w:styleId="BodyTextChar">
    <w:name w:val="Body Text Char"/>
    <w:basedOn w:val="DefaultParagraphFont"/>
    <w:link w:val="BodyText"/>
    <w:uiPriority w:val="1"/>
    <w:rsid w:val="00DE59B2"/>
    <w:rPr>
      <w:rFonts w:ascii="Times New Roman" w:hAnsi="Times New Roman" w:cs="Times New Roman"/>
      <w:b/>
      <w:bCs/>
      <w:szCs w:val="22"/>
      <w:lang w:bidi="ar-SA"/>
    </w:rPr>
  </w:style>
  <w:style w:type="paragraph" w:customStyle="1" w:styleId="TableParagraph">
    <w:name w:val="Table Paragraph"/>
    <w:basedOn w:val="Normal"/>
    <w:uiPriority w:val="1"/>
    <w:qFormat/>
    <w:rsid w:val="00DE59B2"/>
    <w:pPr>
      <w:autoSpaceDE w:val="0"/>
      <w:autoSpaceDN w:val="0"/>
      <w:adjustRightInd w:val="0"/>
      <w:spacing w:after="0" w:line="240" w:lineRule="auto"/>
    </w:pPr>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C207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0710"/>
    <w:rPr>
      <w:rFonts w:ascii="Calibri" w:eastAsia="Calibri" w:hAnsi="Calibri" w:cs="Times New Roman"/>
      <w:sz w:val="20"/>
      <w:lang w:bidi="ar-SA"/>
    </w:rPr>
  </w:style>
  <w:style w:type="character" w:styleId="EndnoteReference">
    <w:name w:val="endnote reference"/>
    <w:basedOn w:val="DefaultParagraphFont"/>
    <w:uiPriority w:val="99"/>
    <w:semiHidden/>
    <w:unhideWhenUsed/>
    <w:rsid w:val="00C20710"/>
    <w:rPr>
      <w:vertAlign w:val="superscript"/>
    </w:rPr>
  </w:style>
  <w:style w:type="paragraph" w:customStyle="1" w:styleId="msonormal0">
    <w:name w:val="msonormal"/>
    <w:basedOn w:val="Normal"/>
    <w:rsid w:val="005F5C5D"/>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customStyle="1" w:styleId="markedcontent">
    <w:name w:val="markedcontent"/>
    <w:rsid w:val="004764A6"/>
  </w:style>
  <w:style w:type="character" w:customStyle="1" w:styleId="ListParagraphChar">
    <w:name w:val="List Paragraph Char"/>
    <w:aliases w:val="PD_Bullet Char"/>
    <w:link w:val="ListParagraph"/>
    <w:uiPriority w:val="34"/>
    <w:locked/>
    <w:rsid w:val="00E9222A"/>
    <w:rPr>
      <w:rFonts w:ascii="Calibri" w:eastAsia="Calibri" w:hAnsi="Calibri" w:cs="Times New Roman"/>
      <w:szCs w:val="22"/>
      <w:lang w:bidi="ar-SA"/>
    </w:rPr>
  </w:style>
  <w:style w:type="paragraph" w:styleId="NoSpacing">
    <w:name w:val="No Spacing"/>
    <w:uiPriority w:val="1"/>
    <w:qFormat/>
    <w:rsid w:val="00CC6145"/>
    <w:pPr>
      <w:spacing w:after="0" w:line="240" w:lineRule="auto"/>
    </w:pPr>
    <w:rPr>
      <w:szCs w:val="22"/>
      <w:lang w:bidi="ar-SA"/>
    </w:rPr>
  </w:style>
  <w:style w:type="character" w:styleId="Hyperlink">
    <w:name w:val="Hyperlink"/>
    <w:basedOn w:val="DefaultParagraphFont"/>
    <w:uiPriority w:val="99"/>
    <w:unhideWhenUsed/>
    <w:rsid w:val="00B93A40"/>
    <w:rPr>
      <w:color w:val="0563C1" w:themeColor="hyperlink"/>
      <w:u w:val="single"/>
    </w:rPr>
  </w:style>
  <w:style w:type="character" w:customStyle="1" w:styleId="ui-provider">
    <w:name w:val="ui-provider"/>
    <w:basedOn w:val="DefaultParagraphFont"/>
    <w:rsid w:val="004E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2560">
      <w:bodyDiv w:val="1"/>
      <w:marLeft w:val="0"/>
      <w:marRight w:val="0"/>
      <w:marTop w:val="0"/>
      <w:marBottom w:val="0"/>
      <w:divBdr>
        <w:top w:val="none" w:sz="0" w:space="0" w:color="auto"/>
        <w:left w:val="none" w:sz="0" w:space="0" w:color="auto"/>
        <w:bottom w:val="none" w:sz="0" w:space="0" w:color="auto"/>
        <w:right w:val="none" w:sz="0" w:space="0" w:color="auto"/>
      </w:divBdr>
    </w:div>
    <w:div w:id="385834662">
      <w:bodyDiv w:val="1"/>
      <w:marLeft w:val="0"/>
      <w:marRight w:val="0"/>
      <w:marTop w:val="0"/>
      <w:marBottom w:val="0"/>
      <w:divBdr>
        <w:top w:val="none" w:sz="0" w:space="0" w:color="auto"/>
        <w:left w:val="none" w:sz="0" w:space="0" w:color="auto"/>
        <w:bottom w:val="none" w:sz="0" w:space="0" w:color="auto"/>
        <w:right w:val="none" w:sz="0" w:space="0" w:color="auto"/>
      </w:divBdr>
    </w:div>
    <w:div w:id="542180897">
      <w:bodyDiv w:val="1"/>
      <w:marLeft w:val="0"/>
      <w:marRight w:val="0"/>
      <w:marTop w:val="0"/>
      <w:marBottom w:val="0"/>
      <w:divBdr>
        <w:top w:val="none" w:sz="0" w:space="0" w:color="auto"/>
        <w:left w:val="none" w:sz="0" w:space="0" w:color="auto"/>
        <w:bottom w:val="none" w:sz="0" w:space="0" w:color="auto"/>
        <w:right w:val="none" w:sz="0" w:space="0" w:color="auto"/>
      </w:divBdr>
    </w:div>
    <w:div w:id="1031763375">
      <w:bodyDiv w:val="1"/>
      <w:marLeft w:val="0"/>
      <w:marRight w:val="0"/>
      <w:marTop w:val="0"/>
      <w:marBottom w:val="0"/>
      <w:divBdr>
        <w:top w:val="none" w:sz="0" w:space="0" w:color="auto"/>
        <w:left w:val="none" w:sz="0" w:space="0" w:color="auto"/>
        <w:bottom w:val="none" w:sz="0" w:space="0" w:color="auto"/>
        <w:right w:val="none" w:sz="0" w:space="0" w:color="auto"/>
      </w:divBdr>
    </w:div>
    <w:div w:id="1519083675">
      <w:bodyDiv w:val="1"/>
      <w:marLeft w:val="0"/>
      <w:marRight w:val="0"/>
      <w:marTop w:val="0"/>
      <w:marBottom w:val="0"/>
      <w:divBdr>
        <w:top w:val="none" w:sz="0" w:space="0" w:color="auto"/>
        <w:left w:val="none" w:sz="0" w:space="0" w:color="auto"/>
        <w:bottom w:val="none" w:sz="0" w:space="0" w:color="auto"/>
        <w:right w:val="none" w:sz="0" w:space="0" w:color="auto"/>
      </w:divBdr>
    </w:div>
    <w:div w:id="1617179830">
      <w:bodyDiv w:val="1"/>
      <w:marLeft w:val="0"/>
      <w:marRight w:val="0"/>
      <w:marTop w:val="0"/>
      <w:marBottom w:val="0"/>
      <w:divBdr>
        <w:top w:val="none" w:sz="0" w:space="0" w:color="auto"/>
        <w:left w:val="none" w:sz="0" w:space="0" w:color="auto"/>
        <w:bottom w:val="none" w:sz="0" w:space="0" w:color="auto"/>
        <w:right w:val="none" w:sz="0" w:space="0" w:color="auto"/>
      </w:divBdr>
    </w:div>
    <w:div w:id="1744446260">
      <w:bodyDiv w:val="1"/>
      <w:marLeft w:val="0"/>
      <w:marRight w:val="0"/>
      <w:marTop w:val="0"/>
      <w:marBottom w:val="0"/>
      <w:divBdr>
        <w:top w:val="none" w:sz="0" w:space="0" w:color="auto"/>
        <w:left w:val="none" w:sz="0" w:space="0" w:color="auto"/>
        <w:bottom w:val="none" w:sz="0" w:space="0" w:color="auto"/>
        <w:right w:val="none" w:sz="0" w:space="0" w:color="auto"/>
      </w:divBdr>
    </w:div>
    <w:div w:id="1845784035">
      <w:bodyDiv w:val="1"/>
      <w:marLeft w:val="0"/>
      <w:marRight w:val="0"/>
      <w:marTop w:val="0"/>
      <w:marBottom w:val="0"/>
      <w:divBdr>
        <w:top w:val="none" w:sz="0" w:space="0" w:color="auto"/>
        <w:left w:val="none" w:sz="0" w:space="0" w:color="auto"/>
        <w:bottom w:val="none" w:sz="0" w:space="0" w:color="auto"/>
        <w:right w:val="none" w:sz="0" w:space="0" w:color="auto"/>
      </w:divBdr>
      <w:divsChild>
        <w:div w:id="1407072793">
          <w:marLeft w:val="274"/>
          <w:marRight w:val="0"/>
          <w:marTop w:val="0"/>
          <w:marBottom w:val="0"/>
          <w:divBdr>
            <w:top w:val="none" w:sz="0" w:space="0" w:color="auto"/>
            <w:left w:val="none" w:sz="0" w:space="0" w:color="auto"/>
            <w:bottom w:val="none" w:sz="0" w:space="0" w:color="auto"/>
            <w:right w:val="none" w:sz="0" w:space="0" w:color="auto"/>
          </w:divBdr>
        </w:div>
      </w:divsChild>
    </w:div>
    <w:div w:id="1880775834">
      <w:bodyDiv w:val="1"/>
      <w:marLeft w:val="0"/>
      <w:marRight w:val="0"/>
      <w:marTop w:val="0"/>
      <w:marBottom w:val="0"/>
      <w:divBdr>
        <w:top w:val="none" w:sz="0" w:space="0" w:color="auto"/>
        <w:left w:val="none" w:sz="0" w:space="0" w:color="auto"/>
        <w:bottom w:val="none" w:sz="0" w:space="0" w:color="auto"/>
        <w:right w:val="none" w:sz="0" w:space="0" w:color="auto"/>
      </w:divBdr>
    </w:div>
    <w:div w:id="2006585444">
      <w:bodyDiv w:val="1"/>
      <w:marLeft w:val="0"/>
      <w:marRight w:val="0"/>
      <w:marTop w:val="0"/>
      <w:marBottom w:val="0"/>
      <w:divBdr>
        <w:top w:val="none" w:sz="0" w:space="0" w:color="auto"/>
        <w:left w:val="none" w:sz="0" w:space="0" w:color="auto"/>
        <w:bottom w:val="none" w:sz="0" w:space="0" w:color="auto"/>
        <w:right w:val="none" w:sz="0" w:space="0" w:color="auto"/>
      </w:divBdr>
    </w:div>
    <w:div w:id="2136755181">
      <w:bodyDiv w:val="1"/>
      <w:marLeft w:val="0"/>
      <w:marRight w:val="0"/>
      <w:marTop w:val="0"/>
      <w:marBottom w:val="0"/>
      <w:divBdr>
        <w:top w:val="none" w:sz="0" w:space="0" w:color="auto"/>
        <w:left w:val="none" w:sz="0" w:space="0" w:color="auto"/>
        <w:bottom w:val="none" w:sz="0" w:space="0" w:color="auto"/>
        <w:right w:val="none" w:sz="0" w:space="0" w:color="auto"/>
      </w:divBdr>
      <w:divsChild>
        <w:div w:id="183818478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795e1c-5248-4ec1-b601-7a39428f93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E1E04C178E2143A6623C19AD70E47B" ma:contentTypeVersion="17" ma:contentTypeDescription="Create a new document." ma:contentTypeScope="" ma:versionID="2f816335308c569f79d97df7ae1ed73f">
  <xsd:schema xmlns:xsd="http://www.w3.org/2001/XMLSchema" xmlns:xs="http://www.w3.org/2001/XMLSchema" xmlns:p="http://schemas.microsoft.com/office/2006/metadata/properties" xmlns:ns3="61a260c3-bd5c-4574-859f-71217fd5614e" xmlns:ns4="0e795e1c-5248-4ec1-b601-7a39428f93c4" targetNamespace="http://schemas.microsoft.com/office/2006/metadata/properties" ma:root="true" ma:fieldsID="ad6bb09b43e90708a39177f1c425aa69" ns3:_="" ns4:_="">
    <xsd:import namespace="61a260c3-bd5c-4574-859f-71217fd5614e"/>
    <xsd:import namespace="0e795e1c-5248-4ec1-b601-7a39428f93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60c3-bd5c-4574-859f-71217fd561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95e1c-5248-4ec1-b601-7a39428f93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7727-E074-4F45-B0E4-D3FAAFE96009}">
  <ds:schemaRefs>
    <ds:schemaRef ds:uri="http://schemas.microsoft.com/office/2006/metadata/properties"/>
    <ds:schemaRef ds:uri="http://schemas.microsoft.com/office/infopath/2007/PartnerControls"/>
    <ds:schemaRef ds:uri="0e795e1c-5248-4ec1-b601-7a39428f93c4"/>
  </ds:schemaRefs>
</ds:datastoreItem>
</file>

<file path=customXml/itemProps2.xml><?xml version="1.0" encoding="utf-8"?>
<ds:datastoreItem xmlns:ds="http://schemas.openxmlformats.org/officeDocument/2006/customXml" ds:itemID="{D1576601-FB7D-43B6-A5C8-8F9A6FEAAA30}">
  <ds:schemaRefs>
    <ds:schemaRef ds:uri="http://schemas.microsoft.com/sharepoint/v3/contenttype/forms"/>
  </ds:schemaRefs>
</ds:datastoreItem>
</file>

<file path=customXml/itemProps3.xml><?xml version="1.0" encoding="utf-8"?>
<ds:datastoreItem xmlns:ds="http://schemas.openxmlformats.org/officeDocument/2006/customXml" ds:itemID="{A0C472CA-381E-4591-B4F8-2926F226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260c3-bd5c-4574-859f-71217fd5614e"/>
    <ds:schemaRef ds:uri="0e795e1c-5248-4ec1-b601-7a39428f9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1D97A-66AC-4AE2-B68A-1E6BA134277A}">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31</TotalTime>
  <Pages>30</Pages>
  <Words>10895</Words>
  <Characters>62102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72852</CharactersWithSpaces>
  <SharedDoc>false</SharedDoc>
  <HLinks>
    <vt:vector size="6" baseType="variant">
      <vt:variant>
        <vt:i4>7077993</vt:i4>
      </vt:variant>
      <vt:variant>
        <vt:i4>0</vt:i4>
      </vt:variant>
      <vt:variant>
        <vt:i4>0</vt:i4>
      </vt:variant>
      <vt:variant>
        <vt:i4>5</vt:i4>
      </vt:variant>
      <vt:variant>
        <vt:lpwstr>https://eoffice.pngrb.gov.in/eFile/?x=pCNAuVLNNyxf3F4sMrq4gV6N*g5dluqw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Mohit Budhiraja</dc:creator>
  <cp:lastModifiedBy>Anchal Chawla</cp:lastModifiedBy>
  <cp:revision>14</cp:revision>
  <cp:lastPrinted>2024-07-19T10:33:00Z</cp:lastPrinted>
  <dcterms:created xsi:type="dcterms:W3CDTF">2024-07-19T09:41:00Z</dcterms:created>
  <dcterms:modified xsi:type="dcterms:W3CDTF">2024-07-26T09:21:00Z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0x010100F6E1E04C178E2143A6623C19AD70E47B</vt:lpwstr>
  </property>
</Properties>
</file>